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C87" w:rsidRDefault="00066C87">
      <w:pPr>
        <w:widowControl/>
        <w:jc w:val="center"/>
        <w:rPr>
          <w:b/>
          <w:sz w:val="28"/>
          <w:szCs w:val="28"/>
        </w:rPr>
      </w:pPr>
      <w:r w:rsidRPr="00066C87">
        <w:rPr>
          <w:b/>
          <w:sz w:val="28"/>
          <w:szCs w:val="28"/>
        </w:rPr>
        <w:t xml:space="preserve">Учебники и учебные пособия: </w:t>
      </w:r>
    </w:p>
    <w:p w:rsidR="00066C87" w:rsidRPr="00066C87" w:rsidRDefault="00066C87">
      <w:pPr>
        <w:widowControl/>
        <w:jc w:val="center"/>
        <w:rPr>
          <w:b/>
          <w:sz w:val="28"/>
          <w:szCs w:val="28"/>
        </w:rPr>
      </w:pPr>
    </w:p>
    <w:p w:rsidR="00066C87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66C87">
        <w:rPr>
          <w:sz w:val="24"/>
          <w:szCs w:val="24"/>
        </w:rPr>
        <w:t>Избирательное право и избирательный процесс в Российской Федерации. (Учебник) // Краснодар: КубГАУ. – 2022. – 228с. // Савченко М.С., Безуглов С.В., Опарин В.Н., Рассказов В.Л., Кириченко Е.В.</w:t>
      </w:r>
    </w:p>
    <w:p w:rsidR="00066C87" w:rsidRPr="00066C87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066C87">
        <w:rPr>
          <w:sz w:val="24"/>
          <w:szCs w:val="24"/>
        </w:rPr>
        <w:t xml:space="preserve">Парламентское право. (Учебник) // Краснодар: КубГАУ. – 2023. – 216с. // Савченко М.C, Безуглов С.В., Опарин В.Н., Кириченко Е.В. </w:t>
      </w:r>
    </w:p>
    <w:p w:rsidR="002C1D5D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C1D5D" w:rsidRPr="002C1D5D">
        <w:rPr>
          <w:sz w:val="24"/>
          <w:szCs w:val="24"/>
        </w:rPr>
        <w:t>Конституционное право : Учебник / М. С. Савченко, В. Н. Опарин, В. Л. Рассказов [и др.]. – Краснодар : Кубанский государственный аграрный университет им. И.Т. Трубилина, 2024. – 379 с. – ISBN 978-5-907817-71-5. – EDN JEHBDA.</w:t>
      </w:r>
    </w:p>
    <w:p w:rsidR="00066C87" w:rsidRPr="00066C87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066C87">
        <w:rPr>
          <w:sz w:val="24"/>
          <w:szCs w:val="24"/>
        </w:rPr>
        <w:t xml:space="preserve">Проблемы российского федерализма [учеб. пособие] // Краснодар: КубГАУ, 2021. – 112 с. // Кириченко Е.В., Опарин В.Н. </w:t>
      </w:r>
    </w:p>
    <w:p w:rsidR="00066C87" w:rsidRPr="00066C87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066C87">
        <w:rPr>
          <w:sz w:val="24"/>
          <w:szCs w:val="24"/>
        </w:rPr>
        <w:t>Проблемы законотворчества. (Учебное пособие) // Краснодар: КубГАУ. – 2021. – 133с. // Савченко М.С., Опарин В.Н., Кириченко Е.В.</w:t>
      </w:r>
    </w:p>
    <w:p w:rsidR="00066C87" w:rsidRPr="00066C87" w:rsidRDefault="00066C87" w:rsidP="00066C87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066C87">
        <w:rPr>
          <w:sz w:val="24"/>
          <w:szCs w:val="24"/>
        </w:rPr>
        <w:t xml:space="preserve">Проекты в юридической деятельности органов публичной власти (учебное пособие) // Краснодар: КубГАУ, 2023. – 73 с. // Рассказов В.Л. </w:t>
      </w:r>
    </w:p>
    <w:p w:rsidR="002C1D5D" w:rsidRDefault="00066C87" w:rsidP="002C1D5D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066C87">
        <w:rPr>
          <w:sz w:val="24"/>
          <w:szCs w:val="24"/>
        </w:rPr>
        <w:t>Конституционно-правовая ответственность органов публичной власти (учебное пособие) // Краснодар: КубГАУ, 2023. – 82 с. // Рассказов В.Л.</w:t>
      </w:r>
    </w:p>
    <w:p w:rsidR="002C1D5D" w:rsidRDefault="002C1D5D" w:rsidP="002C1D5D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2C1D5D">
        <w:rPr>
          <w:sz w:val="24"/>
          <w:szCs w:val="24"/>
        </w:rPr>
        <w:t>.</w:t>
      </w:r>
      <w:r w:rsidRPr="002C1D5D">
        <w:rPr>
          <w:sz w:val="24"/>
          <w:szCs w:val="24"/>
        </w:rPr>
        <w:t xml:space="preserve">Правовой статус государственных органов Краснодарского края : учеб. пособие / Е. А. ЮТКЕВИЧ. - Краснодар : КубГАУ, 2025. - 82 с. </w:t>
      </w:r>
    </w:p>
    <w:p w:rsidR="002C1D5D" w:rsidRDefault="002C1D5D" w:rsidP="002C1D5D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2C1D5D">
        <w:rPr>
          <w:sz w:val="24"/>
          <w:szCs w:val="24"/>
        </w:rPr>
        <w:t xml:space="preserve">Органы местного самоуправления в системе публичной власти Российской Федерации : монография / В. Л. РАССКАЗОВ. - Краснодар : КубГАУ, 2025. - 87 с. </w:t>
      </w:r>
    </w:p>
    <w:p w:rsidR="002C1D5D" w:rsidRDefault="002C1D5D" w:rsidP="002C1D5D">
      <w:pPr>
        <w:pStyle w:val="a3"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Pr="002C1D5D">
        <w:rPr>
          <w:sz w:val="24"/>
          <w:szCs w:val="24"/>
        </w:rPr>
        <w:t xml:space="preserve">   Гражданство Российской Федерации : учеб. пособие / М. С. Савченко, В. Н. Опарин, Е. Г. Петренко, Е. В. Кириченко. - Краснодар : КубГАУ, 2025. - 188 с. </w:t>
      </w:r>
    </w:p>
    <w:p w:rsidR="002C1D5D" w:rsidRDefault="002C1D5D" w:rsidP="002C1D5D">
      <w:pPr>
        <w:widowControl/>
        <w:jc w:val="both"/>
        <w:rPr>
          <w:sz w:val="24"/>
          <w:szCs w:val="24"/>
        </w:rPr>
      </w:pPr>
      <w:r w:rsidRPr="002C1D5D">
        <w:rPr>
          <w:sz w:val="24"/>
          <w:szCs w:val="24"/>
        </w:rPr>
        <w:t>11.</w:t>
      </w:r>
      <w:r>
        <w:rPr>
          <w:sz w:val="24"/>
          <w:szCs w:val="24"/>
        </w:rPr>
        <w:t xml:space="preserve"> </w:t>
      </w:r>
      <w:r w:rsidRPr="002C1D5D">
        <w:rPr>
          <w:sz w:val="24"/>
          <w:szCs w:val="24"/>
        </w:rPr>
        <w:t xml:space="preserve">Юридическая экспертиза нормативных правовых актов органов публичной власти : учеб. пособие / В. Н. ОПАРИН, Е. А. Юткевич. - Краснодар : КубГАУ, 2024. - 106 с. </w:t>
      </w:r>
    </w:p>
    <w:p w:rsidR="002C1D5D" w:rsidRPr="002C1D5D" w:rsidRDefault="002C1D5D" w:rsidP="002C1D5D">
      <w:pPr>
        <w:widowControl/>
        <w:jc w:val="both"/>
        <w:rPr>
          <w:sz w:val="24"/>
          <w:szCs w:val="24"/>
        </w:rPr>
      </w:pPr>
      <w:bookmarkStart w:id="0" w:name="_GoBack"/>
      <w:bookmarkEnd w:id="0"/>
    </w:p>
    <w:p w:rsidR="00066C87" w:rsidRPr="00066C87" w:rsidRDefault="00066C87" w:rsidP="00066C87">
      <w:pPr>
        <w:widowControl/>
        <w:jc w:val="center"/>
        <w:rPr>
          <w:rFonts w:eastAsia="SimSun"/>
          <w:b/>
          <w:bCs/>
          <w:color w:val="000000"/>
          <w:sz w:val="24"/>
          <w:szCs w:val="24"/>
          <w:lang w:eastAsia="zh-CN" w:bidi="ar"/>
        </w:rPr>
      </w:pPr>
    </w:p>
    <w:p w:rsidR="00517B5D" w:rsidRPr="00066C87" w:rsidRDefault="00061740">
      <w:pPr>
        <w:widowControl/>
        <w:jc w:val="center"/>
        <w:rPr>
          <w:sz w:val="28"/>
          <w:szCs w:val="28"/>
        </w:rPr>
      </w:pPr>
      <w:r w:rsidRPr="00066C87">
        <w:rPr>
          <w:rFonts w:eastAsia="SimSun"/>
          <w:b/>
          <w:bCs/>
          <w:color w:val="000000"/>
          <w:sz w:val="28"/>
          <w:szCs w:val="28"/>
          <w:lang w:eastAsia="zh-CN" w:bidi="ar"/>
        </w:rPr>
        <w:t>Научные работы в перечне журналов, рекомендованных ВАК,</w:t>
      </w:r>
    </w:p>
    <w:p w:rsidR="00517B5D" w:rsidRPr="00066C87" w:rsidRDefault="00061740">
      <w:pPr>
        <w:widowControl/>
        <w:jc w:val="center"/>
        <w:rPr>
          <w:rFonts w:eastAsia="SimSun"/>
          <w:b/>
          <w:bCs/>
          <w:color w:val="000000"/>
          <w:sz w:val="28"/>
          <w:szCs w:val="28"/>
          <w:lang w:val="en-US" w:eastAsia="zh-CN" w:bidi="ar"/>
        </w:rPr>
      </w:pPr>
      <w:r w:rsidRPr="00066C87">
        <w:rPr>
          <w:rFonts w:eastAsia="SimSun"/>
          <w:b/>
          <w:bCs/>
          <w:color w:val="000000"/>
          <w:sz w:val="28"/>
          <w:szCs w:val="28"/>
          <w:lang w:val="en-US" w:eastAsia="zh-CN" w:bidi="ar"/>
        </w:rPr>
        <w:t>МБЦ Web of Science, Scopus:</w:t>
      </w:r>
    </w:p>
    <w:p w:rsidR="00517B5D" w:rsidRPr="00066C87" w:rsidRDefault="00517B5D">
      <w:pPr>
        <w:widowControl/>
        <w:jc w:val="center"/>
        <w:rPr>
          <w:rFonts w:eastAsia="SimSun"/>
          <w:b/>
          <w:bCs/>
          <w:color w:val="000000"/>
          <w:sz w:val="28"/>
          <w:szCs w:val="28"/>
          <w:lang w:val="en-US" w:eastAsia="zh-CN" w:bidi="ar"/>
        </w:rPr>
      </w:pP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Ковалева В.В., Лихолатов Г.С. // Правовое регулирование в условиях цифровизации общества: на примере избирательных технологий (статья)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// Право и государство: теория и практика.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№ 1 (193). – С.221-224.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М.С. Савченко, А.Е. Новикова, С.В. Тысячная, Г.Т. Сланов, А.Г. Терехов //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Constitutional and legal experience of implementation of the principles of human rights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protection by prosecutors (статья) // Laplage em Revista (International), vol. 7, n. extra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А, Jan-Apr 2021 p.210-216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Опарин В.Н. // Становление и развитие дистанционного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электронного голосования на выборах в Российской Федерации (статья) // Власть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Закона. 2022. № 2 (50). С. 75-83.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Опарин В.Н., Григорьева А.В. // Проблемы правового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регулирования многодневного голосования на выборах и референдумах // Власть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Закона. 2022. № 1 (49). С. 102-111</w:t>
      </w:r>
      <w:r w:rsidRPr="00066C87">
        <w:rPr>
          <w:rFonts w:eastAsia="SimSun"/>
          <w:b/>
          <w:bCs/>
          <w:color w:val="000000"/>
          <w:sz w:val="24"/>
          <w:szCs w:val="24"/>
          <w:lang w:val="en-US" w:eastAsia="zh-CN" w:bidi="ar"/>
        </w:rPr>
        <w:t xml:space="preserve">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Опарин В.Н. // Судебный прецедент в системе источников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конституционного права // Власть Закона. 2023. № 1 (53). С. 44-52.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Савченко М.С., Опарин В.Н. // Проблемы правового регулирования предвыборной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агитации с использованием сети интернет // Власть Закона.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2023. № 3 (55). С. 87-96.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Опарин В.Н. // «Правовая культура в условиях социокультурных 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социокоммуникативных трансформаций общества» // Вестник Краснодарского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университета МВД России.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2023 №3 (61) </w:t>
      </w:r>
      <w:r w:rsidR="006C1798" w:rsidRPr="00066C87">
        <w:rPr>
          <w:rFonts w:eastAsia="SimSun"/>
          <w:color w:val="000000"/>
          <w:sz w:val="24"/>
          <w:szCs w:val="24"/>
          <w:lang w:eastAsia="zh-CN" w:bidi="ar"/>
        </w:rPr>
        <w:t>С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. 118-122 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Кириченко Е.В., Калустова А.А. //Содержание конституционно-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lastRenderedPageBreak/>
        <w:t xml:space="preserve">правового регулирования защиты семьи, материнства, отцовства и детства // Власть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Закона. 2024. № 1 (57). С. 81-90.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rFonts w:eastAsia="SimSun"/>
          <w:color w:val="000000"/>
          <w:sz w:val="24"/>
          <w:szCs w:val="24"/>
          <w:lang w:eastAsia="zh-CN" w:bidi="ar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Кириченко Е. В., Василевский Д.Е. // Противодействие экстремизму в социальных сетях // Власть Закона. – 2024. – № 3(59). С. 95-107. </w:t>
      </w:r>
    </w:p>
    <w:p w:rsidR="006C1798" w:rsidRPr="00066C87" w:rsidRDefault="00061740" w:rsidP="00066C87">
      <w:pPr>
        <w:numPr>
          <w:ilvl w:val="0"/>
          <w:numId w:val="1"/>
        </w:numPr>
        <w:shd w:val="clear" w:color="auto" w:fill="FFFFFF"/>
        <w:jc w:val="both"/>
        <w:rPr>
          <w:color w:val="222222"/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Савченко М.С., Потапенко С.В., Чешин А.В., Гончаров В.В. // </w:t>
      </w:r>
      <w:r w:rsidRPr="00066C87">
        <w:rPr>
          <w:color w:val="222222"/>
          <w:sz w:val="24"/>
          <w:szCs w:val="24"/>
        </w:rPr>
        <w:t>О необходимости развития института дополнительных (факультативных) правовых гарантий общественного контроля в Российской Федерации // Право и государство: теория и практика. 2025</w:t>
      </w:r>
      <w:r w:rsidR="006C1798" w:rsidRPr="00066C87">
        <w:rPr>
          <w:color w:val="222222"/>
          <w:sz w:val="24"/>
          <w:szCs w:val="24"/>
        </w:rPr>
        <w:t>.</w:t>
      </w:r>
      <w:r w:rsidRPr="00066C87">
        <w:rPr>
          <w:color w:val="222222"/>
          <w:sz w:val="24"/>
          <w:szCs w:val="24"/>
        </w:rPr>
        <w:t xml:space="preserve"> № 1. С. 96-100. </w:t>
      </w:r>
    </w:p>
    <w:p w:rsidR="00517B5D" w:rsidRPr="00066C87" w:rsidRDefault="00061740" w:rsidP="00066C87">
      <w:pPr>
        <w:numPr>
          <w:ilvl w:val="0"/>
          <w:numId w:val="1"/>
        </w:numPr>
        <w:shd w:val="clear" w:color="auto" w:fill="FFFFFF"/>
        <w:jc w:val="both"/>
        <w:rPr>
          <w:color w:val="222222"/>
          <w:sz w:val="24"/>
          <w:szCs w:val="24"/>
        </w:rPr>
      </w:pPr>
      <w:r w:rsidRPr="00066C87">
        <w:rPr>
          <w:color w:val="222222"/>
          <w:sz w:val="24"/>
          <w:szCs w:val="24"/>
        </w:rPr>
        <w:t>Савченко, М. С., Кириченко Е.В., Макотер М.И. // Противодействие созданию экстремистских материалов с помощью приложений на основе искусственного интеллекта // Власть Закона. 2025</w:t>
      </w:r>
      <w:r w:rsidR="006C1798" w:rsidRPr="00066C87">
        <w:rPr>
          <w:color w:val="222222"/>
          <w:sz w:val="24"/>
          <w:szCs w:val="24"/>
        </w:rPr>
        <w:t>.</w:t>
      </w:r>
      <w:r w:rsidRPr="00066C87">
        <w:rPr>
          <w:color w:val="222222"/>
          <w:sz w:val="24"/>
          <w:szCs w:val="24"/>
        </w:rPr>
        <w:t xml:space="preserve"> № 2(62). С. 107-118</w:t>
      </w:r>
      <w:r w:rsidR="006C1798" w:rsidRPr="00066C87">
        <w:rPr>
          <w:color w:val="222222"/>
          <w:sz w:val="24"/>
          <w:szCs w:val="24"/>
        </w:rPr>
        <w:t>.</w:t>
      </w:r>
      <w:r w:rsidRPr="00066C87">
        <w:rPr>
          <w:color w:val="222222"/>
          <w:sz w:val="24"/>
          <w:szCs w:val="24"/>
        </w:rPr>
        <w:t>.</w:t>
      </w:r>
    </w:p>
    <w:p w:rsidR="006C1798" w:rsidRPr="00066C87" w:rsidRDefault="00061740" w:rsidP="00066C8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 xml:space="preserve">Савченко М.С., Тормозов В. С. // Общественный контроль в сфере промышленности в странах Латинской Америки: сравнительно-правовой анализ </w:t>
      </w:r>
      <w:r w:rsidR="00C34AE7" w:rsidRPr="00066C87">
        <w:rPr>
          <w:bCs/>
          <w:sz w:val="24"/>
          <w:szCs w:val="24"/>
        </w:rPr>
        <w:t xml:space="preserve">// </w:t>
      </w:r>
      <w:r w:rsidRPr="00066C87">
        <w:rPr>
          <w:bCs/>
          <w:sz w:val="24"/>
          <w:szCs w:val="24"/>
        </w:rPr>
        <w:t xml:space="preserve">Административное и муниципальное право. 2026. № 3. С. 44-55. </w:t>
      </w:r>
    </w:p>
    <w:p w:rsidR="00517B5D" w:rsidRPr="00066C87" w:rsidRDefault="00C34AE7" w:rsidP="00066C8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>Савченко М.С., Опарин В.Н., Катанаева Е.С. // Правовые проблемы использования медиа как средства предвыборной агитации  // Власть Закона.  2026. </w:t>
      </w:r>
      <w:hyperlink r:id="rId7" w:history="1">
        <w:r w:rsidRPr="00066C87">
          <w:rPr>
            <w:bCs/>
            <w:sz w:val="24"/>
            <w:szCs w:val="24"/>
          </w:rPr>
          <w:t>№ 2 (66)</w:t>
        </w:r>
      </w:hyperlink>
      <w:r w:rsidRPr="00066C87">
        <w:rPr>
          <w:bCs/>
          <w:sz w:val="24"/>
          <w:szCs w:val="24"/>
        </w:rPr>
        <w:t>. С. 30-44.</w:t>
      </w:r>
    </w:p>
    <w:p w:rsidR="00517B5D" w:rsidRPr="00066C87" w:rsidRDefault="00517B5D" w:rsidP="00066C87">
      <w:pPr>
        <w:widowControl/>
        <w:jc w:val="both"/>
        <w:rPr>
          <w:rFonts w:eastAsia="SimSun"/>
          <w:color w:val="000000"/>
          <w:sz w:val="24"/>
          <w:szCs w:val="24"/>
          <w:lang w:eastAsia="zh-CN" w:bidi="ar"/>
        </w:rPr>
      </w:pP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В.Л. Рассказов // Устав судопроизводства в коммерческих судах 1832 г. И его место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 системе экономического правосудия российской империи // Общество и право. </w:t>
      </w:r>
    </w:p>
    <w:p w:rsidR="00517B5D" w:rsidRPr="00066C87" w:rsidRDefault="00061740" w:rsidP="00066C87">
      <w:pPr>
        <w:widowControl/>
        <w:numPr>
          <w:ilvl w:val="0"/>
          <w:numId w:val="2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№ 3 (77). С. 128-131.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Деятельность коммерческих судов в российской империи в конце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>х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i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х - начале хх века // Правовое государство: теория и практика.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№ 2 (64). С.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75-82.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Устав о таможенном суде 1727 г. - первый специальный закон в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истории российского экономического правосудия: концепция и анализ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процессуальных норм // Философия права. 2021. № 4 (99). С. 124-127.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А.Ю. Мамий // Региональная финансовая система // Гуманитарные,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социально-экономические и общественные науки.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№ 12-1. С. 147-149.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Порядок формирования и полномочия коммерческих судов по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закону от 14 мая 1832 г. // Право и государство: теория и практика.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№ 9 (201).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С. 176-178.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М.М. Пастухов // О некоторых проблемах правового регулирования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использования персональных данных при проведении предвыборной агитации //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Юридический вестник Дагестанского государственного университета.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Т. 39.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№ 3. С. 181-185.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Формирования правовой базы арбитражного судопроизводства в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постсоветской России: первые законы, предшествовавшие конституции России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1993 г., и их характеристика // Философия права.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2021. № 3 (98). С. 144-148.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Л.П. Рассказов, И.В. Упоров // Институт хозрасчета в советском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государстве: теоретическое обоснование и политико-правовое регулирование во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второй половине периода "застоя" (рубеж 1980 года) // Ученые записки Крымского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федерального университета имени В.И. Вернадского.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Юридические науки. 2021. Т.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7. № 3-1. С. 60-66.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Р.В. Аутлева // Становление торгового суда в древней Руси //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Ученые записки Крымского федерального университета имени В.И. Вернадского.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Юридические науки. 2021. Т. 7. № 3-1. С. 54-59.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Л.П. Рассказов, И.В. Упоров // Использование в России осужденных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преступников для решения колонизационно-экономических задач (вторая половина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xvii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века): историко-правовой аспект // Вестник Краснодарского университета МВД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России. 2021. № 3 (53). С. 104-108.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Принятие конституции России 1993 г. Как важнейший этап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развития института арбитражных судов в России // Аграрное и земельное право.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lastRenderedPageBreak/>
        <w:t xml:space="preserve">2021. № 6 (198). С. 23-27.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Е.Е. Тонков //Арест как процессуальная мера в московском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государстве: организационно-правовой аспект // Власть Закона.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2022. № 2 (50). С.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175-182.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Л.П. Рассказов, И.В. Упоров // Нарастание кризисных явлений в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экономической сфере советского государства в период "развитого социализма" (на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примере реализации права граждан на жилище) // Вестник Краснодарского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университета МВД России. 2022. № 3 (57). С. 86-91.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Л.П. Рассказов // Особенности процесса огосударствления 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национализации и его интерпретация в советском законодательстве в жилищной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сфере (1917 - середина 1920 - х гг // Ученые записки Крымского федерального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университета имени В.И. Вернадского.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Юридические науки. 2022. Т. 8. № 3. С. 447-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452.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Е.Е. Тонков // Гражданский процесс в российском государстве в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годы правления Петра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i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// Ученые записки Крымского федерального университета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имени В.И. Вернадского. Юридические науки. 2022. Т. 8. № 3. С. 442-446.25. В.Л. Рассказов, С.А. Межян // Современные проблемы профессиональной этики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юриста // Власть Закона. 2023. № 2 (54). С. 290-297.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Л.П. Рассказов // Цивилизационные особенности России // Власть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Закона. 2023. № 2 (54). С. 47-58. 1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Рассказов, Р.В. Аутлева // Совершенствование организационно-правовой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основы судебных органов по рассмотрению торговых споров в России во второй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половине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xviii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в. // Ученые записки Крымского федерального университета имени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В.И. Вернадского. Юридические науки.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2023. Т. 9. № 1. С. 388-392.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В.Л. Рассказов // Генезис предпринимательской деятельности и экономического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правосудия в древней Руси и московском государстве. // Ученые записки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Крымского федерального университета имени В.И. Вернадского.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Юридические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науки. 2023. Т. 9. № 1. С. 57-61. 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sz w:val="24"/>
          <w:szCs w:val="24"/>
        </w:rPr>
        <w:t>Рассказов В.Л. // Конституционно-правовая оценка федеративного устройства России: диссонанс теории и практики // Актуальные проблемы российского права. 2025. Т. 20. № 8 (177). С. 11-18.</w:t>
      </w:r>
    </w:p>
    <w:p w:rsidR="006C1798" w:rsidRPr="00066C87" w:rsidRDefault="00061740" w:rsidP="00066C87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 xml:space="preserve">Рассказов В. Л., Фоменко Е.Д., Казакова С.П. // Цифровизация как фактор трансформации методологии юридической науки // Право и государство: теория и практика. 2026. № 3. С. 116-119. 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 xml:space="preserve">Рассказов В. Л., Агеенко Д.М., Алхазов Н.Я. // Реализация конституционного права на пользование родным языком в Российской Федерации: правовые механизмы, практики применения и направления совершенствования // Евразийский юридический журнал. 2026. № 2(213). С. 144-147.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Е.В. Кириченко, В.Д. Титорова, К.А. Кириченко //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Brackish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water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desalination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using</w:t>
      </w: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electrodialysis with monovalent selective membranes // IOP Conference Series: Earth and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Environmental Science. 2021. Vol. 723. Issue 2. Article 022077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Е.В. Кириченко, А.С. Кириченко // Providing a microclimate inside the greenhouse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through the use of renewable energy sources // IOP Conference Series: Earth and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Environmental Science. 2021. Vol. 677. Issue 2. Article 022078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 xml:space="preserve">Е.В. Кириченко, К.А. Цыгурина, О.А. Рыбалкина и др., всего 5 соавторов // </w:t>
      </w: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>Layer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by-layer coating of MK-40 heterogeneous membrane with polyelectrolytes creates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samples with low electrical resistance and weak generation of H+ and OH− ions //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Membranes. 2021. Vol. 11. Issue 2. Article 145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Е.В. Кириченко, А.С. Кириченко, К.А. Кириченко // List of Issues That Require Legal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Regulation as Part of the Renewable Energy Regulation in Component States of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Federation // Energies. 2024. Vol. 17. Article 747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Е.В. Кириченко, А.С. Кириченко, К.А. Кириченко // Regulation of Incentives for Use </w:t>
      </w:r>
    </w:p>
    <w:p w:rsidR="00517B5D" w:rsidRPr="00066C87" w:rsidRDefault="00061740" w:rsidP="00066C87">
      <w:pPr>
        <w:widowControl/>
        <w:jc w:val="both"/>
        <w:rPr>
          <w:sz w:val="24"/>
          <w:szCs w:val="24"/>
          <w:lang w:val="en-US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lastRenderedPageBreak/>
        <w:t xml:space="preserve">of Renewable Energy at the Level of Regional Legislation in Federal States, Using the </w:t>
      </w:r>
    </w:p>
    <w:p w:rsidR="00517B5D" w:rsidRPr="00066C87" w:rsidRDefault="00061740" w:rsidP="00066C87">
      <w:pPr>
        <w:widowControl/>
        <w:jc w:val="both"/>
        <w:rPr>
          <w:rFonts w:eastAsia="SimSun"/>
          <w:color w:val="000000"/>
          <w:sz w:val="24"/>
          <w:szCs w:val="24"/>
          <w:lang w:val="en-US" w:eastAsia="zh-CN" w:bidi="ar"/>
        </w:rPr>
      </w:pPr>
      <w:r w:rsidRPr="00066C87">
        <w:rPr>
          <w:rFonts w:eastAsia="SimSun"/>
          <w:color w:val="000000"/>
          <w:sz w:val="24"/>
          <w:szCs w:val="24"/>
          <w:lang w:val="en-US" w:eastAsia="zh-CN" w:bidi="ar"/>
        </w:rPr>
        <w:t xml:space="preserve">Russian Federation as an Example // Laws. 2023. Vol. 12. Issue 1. Article 13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rFonts w:eastAsia="SimSun"/>
          <w:color w:val="000000"/>
          <w:sz w:val="24"/>
          <w:szCs w:val="24"/>
          <w:lang w:eastAsia="zh-CN" w:bidi="ar"/>
        </w:rPr>
      </w:pPr>
      <w:r w:rsidRPr="00066C87">
        <w:rPr>
          <w:rFonts w:eastAsia="SimSun"/>
          <w:color w:val="000000"/>
          <w:sz w:val="24"/>
          <w:szCs w:val="24"/>
          <w:lang w:eastAsia="zh-CN" w:bidi="ar"/>
        </w:rPr>
        <w:t>Кириченко Е.В., Кириченко А.С. // Оценка результативности внедрения объектов возобновляемой энергетики в рамках перехода к энергоэффективной экономике в аграрных субъектах Российской Федерации // Известия нижневолжского агроуниверситетского комплекса: наука и высшее профессиональное образование №1(73) 2024г. с.312-321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>Кириченко Е.В., Кириченко К.А., Кириченко А.С., Безрученко М.П. // Перечень вопросов, требующих законодательного регулирования в области обеспечения региональной энергетической безопасности в субъекте федерации // Уголь. – 2026. – № 1(1201). – С. 81-90. – DOI 10.18796/0041-5790-2026-1-81-90. – EDN COLHSI.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 xml:space="preserve">Кириченко А. С., Кириченко А.С. // Методология оценки энергетической безопасности как фактора экономической стабильности региона // Вестник Пермского университета. Серия: Экономика. 2026. Т. 21, № 1. С. 103-124. </w:t>
      </w:r>
    </w:p>
    <w:p w:rsidR="00517B5D" w:rsidRPr="00066C87" w:rsidRDefault="00061740" w:rsidP="00066C87">
      <w:pPr>
        <w:widowControl/>
        <w:numPr>
          <w:ilvl w:val="0"/>
          <w:numId w:val="1"/>
        </w:numPr>
        <w:jc w:val="both"/>
        <w:rPr>
          <w:rFonts w:eastAsia="SimSun"/>
          <w:color w:val="000000"/>
          <w:sz w:val="24"/>
          <w:szCs w:val="24"/>
          <w:lang w:eastAsia="zh-CN" w:bidi="ar"/>
        </w:rPr>
      </w:pPr>
      <w:r w:rsidRPr="00066C87">
        <w:rPr>
          <w:bCs/>
          <w:sz w:val="24"/>
          <w:szCs w:val="24"/>
        </w:rPr>
        <w:t xml:space="preserve">Опарин В.Н., Кудрявцев В.Л., Куликова А.А., Малютин А.Д. // Современные проблемы рассмотрения дел о геноциде Международным уголовным судом // Международное право и международные организации. 2025. № 4. С. 72-94. 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sz w:val="24"/>
          <w:szCs w:val="24"/>
        </w:rPr>
        <w:t>Петренко Е.Г., Гончаров В.В., Нагайцев В.В. // Роль профсоюзов в России в обеспечении реализации конституционного принципа народовластия Национальная безопасность // Nota Bene. 2024. № 3. С. 62-80.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sz w:val="24"/>
          <w:szCs w:val="24"/>
        </w:rPr>
      </w:pPr>
      <w:r w:rsidRPr="00066C87">
        <w:rPr>
          <w:sz w:val="24"/>
          <w:szCs w:val="24"/>
        </w:rPr>
        <w:t xml:space="preserve">Петренко Е.Г., Потапенко С.В., Пчелинцев А.С., Гончаров В.В., Чешин А.В. Искусственный интеллект при осуществлении общественного контроля: пределы допустимости (правовой аспект) // Теория и практика общественного развития. 2025. № 1 (201). С. 116-124. 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066C87">
        <w:rPr>
          <w:bCs/>
          <w:sz w:val="24"/>
          <w:szCs w:val="24"/>
        </w:rPr>
        <w:t xml:space="preserve">Петренко Е.Г., Гаркуша В.М., Золотарчук А.В., Куликова //Институт референдума в современных скандинавских монархиях (Норвегии, Швеции, Дании): сравнительно-правовой анализ // Административное и муниципальное право. 2026. № 4. С. 63-84. </w:t>
      </w:r>
    </w:p>
    <w:p w:rsidR="006C1798" w:rsidRPr="00066C87" w:rsidRDefault="00061740" w:rsidP="00066C87">
      <w:pPr>
        <w:numPr>
          <w:ilvl w:val="0"/>
          <w:numId w:val="1"/>
        </w:numPr>
        <w:jc w:val="both"/>
        <w:rPr>
          <w:color w:val="222222"/>
          <w:sz w:val="24"/>
          <w:szCs w:val="24"/>
        </w:rPr>
      </w:pPr>
      <w:r w:rsidRPr="00066C87">
        <w:rPr>
          <w:bCs/>
          <w:sz w:val="24"/>
          <w:szCs w:val="24"/>
        </w:rPr>
        <w:t xml:space="preserve">Петренко Е.Г., Максимов А.А., Гончаров В.В., Малиновский О.Н. // О недопустимости использования международными неправительственными организациями институтов гражданского общества в качестве инструмента подрыва национальной безопасности // Международное право. 2026. № 1. С. 1-16. </w:t>
      </w:r>
    </w:p>
    <w:p w:rsidR="00517B5D" w:rsidRPr="00066C87" w:rsidRDefault="00061740" w:rsidP="00066C87">
      <w:pPr>
        <w:numPr>
          <w:ilvl w:val="0"/>
          <w:numId w:val="1"/>
        </w:numPr>
        <w:jc w:val="both"/>
        <w:rPr>
          <w:color w:val="222222"/>
          <w:sz w:val="24"/>
          <w:szCs w:val="24"/>
        </w:rPr>
      </w:pPr>
      <w:r w:rsidRPr="00066C87">
        <w:rPr>
          <w:bCs/>
          <w:sz w:val="24"/>
          <w:szCs w:val="24"/>
        </w:rPr>
        <w:t>Юткевич Е.А., Березка А.В., Демтирова А.С., Мельников А.Б. // Совершенствование экспортно-импортной политики как фактор обеспечения продовольственной безопасности РФ: правовые аспекты // Вестник академии знаний, № 1 (60)</w:t>
      </w:r>
      <w:r w:rsidR="006C1798" w:rsidRPr="00066C87">
        <w:rPr>
          <w:bCs/>
          <w:sz w:val="24"/>
          <w:szCs w:val="24"/>
        </w:rPr>
        <w:t>.</w:t>
      </w:r>
      <w:r w:rsidRPr="00066C87">
        <w:rPr>
          <w:bCs/>
          <w:sz w:val="24"/>
          <w:szCs w:val="24"/>
        </w:rPr>
        <w:t xml:space="preserve"> </w:t>
      </w:r>
      <w:r w:rsidR="006C1798" w:rsidRPr="00066C87">
        <w:rPr>
          <w:bCs/>
          <w:sz w:val="24"/>
          <w:szCs w:val="24"/>
        </w:rPr>
        <w:t>2024. С.</w:t>
      </w:r>
      <w:r w:rsidRPr="00066C87">
        <w:rPr>
          <w:bCs/>
          <w:sz w:val="24"/>
          <w:szCs w:val="24"/>
        </w:rPr>
        <w:t xml:space="preserve"> 248-253</w:t>
      </w:r>
    </w:p>
    <w:p w:rsidR="00517B5D" w:rsidRPr="006C1798" w:rsidRDefault="00061740" w:rsidP="00066C8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color w:val="222222"/>
          <w:sz w:val="24"/>
          <w:szCs w:val="24"/>
        </w:rPr>
      </w:pPr>
      <w:r w:rsidRPr="00066C87">
        <w:rPr>
          <w:bCs/>
          <w:sz w:val="24"/>
          <w:szCs w:val="24"/>
        </w:rPr>
        <w:t>Юткевич Е.А., Мельников А.Б., Бояринов Н.А., Грицына К.М. // Государственная поддержка АПК Краснодарского края как фактор обеспечения продовольственной безопасности региона: правовые аспекты // Экономика и управление: проблемы, решения. 2025. Т. 13, №</w:t>
      </w:r>
      <w:r w:rsidRPr="006C1798">
        <w:rPr>
          <w:bCs/>
          <w:sz w:val="24"/>
          <w:szCs w:val="24"/>
        </w:rPr>
        <w:t xml:space="preserve"> 12(165). С. 112-125. </w:t>
      </w:r>
    </w:p>
    <w:sectPr w:rsidR="00517B5D" w:rsidRPr="006C1798">
      <w:pgSz w:w="11906" w:h="16838"/>
      <w:pgMar w:top="1134" w:right="850" w:bottom="1134" w:left="1701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605" w:rsidRDefault="00E66605">
      <w:r>
        <w:separator/>
      </w:r>
    </w:p>
  </w:endnote>
  <w:endnote w:type="continuationSeparator" w:id="0">
    <w:p w:rsidR="00E66605" w:rsidRDefault="00E6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605" w:rsidRDefault="00E66605">
      <w:r>
        <w:separator/>
      </w:r>
    </w:p>
  </w:footnote>
  <w:footnote w:type="continuationSeparator" w:id="0">
    <w:p w:rsidR="00E66605" w:rsidRDefault="00E66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C34D7"/>
    <w:multiLevelType w:val="singleLevel"/>
    <w:tmpl w:val="11FAEE3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  <w:szCs w:val="24"/>
      </w:rPr>
    </w:lvl>
  </w:abstractNum>
  <w:abstractNum w:abstractNumId="1">
    <w:nsid w:val="14320D87"/>
    <w:multiLevelType w:val="singleLevel"/>
    <w:tmpl w:val="14320D87"/>
    <w:lvl w:ilvl="0">
      <w:start w:val="2021"/>
      <w:numFmt w:val="decimal"/>
      <w:suff w:val="space"/>
      <w:lvlText w:val="%1."/>
      <w:lvlJc w:val="left"/>
    </w:lvl>
  </w:abstractNum>
  <w:abstractNum w:abstractNumId="2">
    <w:nsid w:val="33FA3F10"/>
    <w:multiLevelType w:val="hybridMultilevel"/>
    <w:tmpl w:val="02F01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45022E"/>
    <w:multiLevelType w:val="hybridMultilevel"/>
    <w:tmpl w:val="7B503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3A5FB4"/>
    <w:rsid w:val="00022715"/>
    <w:rsid w:val="00061740"/>
    <w:rsid w:val="00064890"/>
    <w:rsid w:val="00066C87"/>
    <w:rsid w:val="002C1D5D"/>
    <w:rsid w:val="004B7DB8"/>
    <w:rsid w:val="00510F89"/>
    <w:rsid w:val="00517B5D"/>
    <w:rsid w:val="006C1798"/>
    <w:rsid w:val="008C67DE"/>
    <w:rsid w:val="009F54F7"/>
    <w:rsid w:val="00BF6093"/>
    <w:rsid w:val="00C34AE7"/>
    <w:rsid w:val="00E66605"/>
    <w:rsid w:val="4EBE0B3A"/>
    <w:rsid w:val="501F5F01"/>
    <w:rsid w:val="643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267AB2-A6DB-1943-B9B4-5188542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rsid w:val="00C34AE7"/>
    <w:rPr>
      <w:color w:val="0026E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4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library.ru/contents.asp?id=91685058&amp;selid=916850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Лебен�</dc:creator>
  <cp:lastModifiedBy>Савченко Марина Станиславовна</cp:lastModifiedBy>
  <cp:revision>3</cp:revision>
  <dcterms:created xsi:type="dcterms:W3CDTF">2026-10-14T13:24:00Z</dcterms:created>
  <dcterms:modified xsi:type="dcterms:W3CDTF">2026-10-14T13:39:00Z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7927F17E914C40A6B27BAB464D4F4A5B_11</vt:lpwstr>
  </property>
  <property fmtid="{D5CDD505-2E9C-101B-9397-08002B2CF9AE}" pid="4" name="KSOTemplateDocerSaveRecord">
    <vt:lpwstr>eyJoZGlkIjoiMzkwNTA4NzMzMjVhYWI1ODI2YWZlZjY1MjNkZGM3ZWIiLCJ1c2VySWQiOiI4NDI1NTU1Njk5NjYifQ==</vt:lpwstr>
  </property>
</Properties>
</file>