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12" w:rsidRDefault="00080550" w:rsidP="00555C12">
      <w:pPr>
        <w:spacing w:after="0"/>
        <w:jc w:val="center"/>
        <w:rPr>
          <w:b/>
          <w:noProof/>
          <w:sz w:val="28"/>
          <w:szCs w:val="28"/>
          <w:highlight w:val="yellow"/>
          <w:lang w:eastAsia="ru-RU"/>
        </w:rPr>
      </w:pPr>
      <w:r w:rsidRPr="00296328">
        <w:rPr>
          <w:b/>
          <w:noProof/>
          <w:sz w:val="28"/>
          <w:szCs w:val="28"/>
          <w:highlight w:val="yellow"/>
          <w:lang w:eastAsia="ru-RU"/>
        </w:rPr>
        <w:t>Олимпиада школьников Агро 2019-2020 учебный год</w:t>
      </w:r>
    </w:p>
    <w:p w:rsidR="00080550" w:rsidRDefault="00080550" w:rsidP="00555C12">
      <w:pPr>
        <w:jc w:val="center"/>
        <w:rPr>
          <w:b/>
          <w:noProof/>
          <w:sz w:val="28"/>
          <w:szCs w:val="28"/>
          <w:lang w:eastAsia="ru-RU"/>
        </w:rPr>
      </w:pPr>
    </w:p>
    <w:p w:rsidR="00555C12" w:rsidRDefault="00555C12" w:rsidP="00555C12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Задания очного тура по ХИМИИ</w:t>
      </w:r>
    </w:p>
    <w:p w:rsidR="00555C12" w:rsidRPr="00517E31" w:rsidRDefault="00555C12" w:rsidP="00555C1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Style w:val="a4"/>
        <w:tblW w:w="8706" w:type="dxa"/>
        <w:tblLayout w:type="fixed"/>
        <w:tblLook w:val="04A0" w:firstRow="1" w:lastRow="0" w:firstColumn="1" w:lastColumn="0" w:noHBand="0" w:noVBand="1"/>
      </w:tblPr>
      <w:tblGrid>
        <w:gridCol w:w="7828"/>
        <w:gridCol w:w="878"/>
      </w:tblGrid>
      <w:tr w:rsidR="00555C12" w:rsidRPr="00677198" w:rsidTr="00555C12">
        <w:tc>
          <w:tcPr>
            <w:tcW w:w="7828" w:type="dxa"/>
          </w:tcPr>
          <w:p w:rsidR="00555C12" w:rsidRPr="00677198" w:rsidRDefault="00555C12" w:rsidP="002C6C99">
            <w:pPr>
              <w:jc w:val="center"/>
            </w:pPr>
            <w:r w:rsidRPr="00677198">
              <w:t>Задание  с ответами</w:t>
            </w: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t>Балл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21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581"/>
            </w:tblGrid>
            <w:tr w:rsidR="00555C12" w:rsidRPr="00677198" w:rsidTr="002C6C99">
              <w:tc>
                <w:tcPr>
                  <w:tcW w:w="72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№1 (Балл 3)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2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При увеличении давления в системе N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2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+ 3Н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2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= 2NН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3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в два раза скорость прямой реакции при условии ее элементарности возрастет в…….. раз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AAD3E1" wp14:editId="3D8F33C8">
                        <wp:extent cx="133350" cy="133350"/>
                        <wp:effectExtent l="0" t="0" r="0" b="0"/>
                        <wp:docPr id="358" name="Рисунок 3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16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C25FB7" wp14:editId="70DEC412">
                        <wp:extent cx="133350" cy="133350"/>
                        <wp:effectExtent l="0" t="0" r="0" b="0"/>
                        <wp:docPr id="357" name="Рисунок 3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12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rHeight w:val="323"/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14E984" wp14:editId="164F33EA">
                        <wp:extent cx="133350" cy="133350"/>
                        <wp:effectExtent l="0" t="0" r="0" b="0"/>
                        <wp:docPr id="356" name="Рисунок 3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874C01" wp14:editId="1C7BC4D1">
                        <wp:extent cx="133350" cy="133350"/>
                        <wp:effectExtent l="0" t="0" r="0" b="0"/>
                        <wp:docPr id="355" name="Рисунок 3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8</w:t>
                  </w:r>
                </w:p>
              </w:tc>
            </w:tr>
          </w:tbl>
          <w:p w:rsidR="00555C12" w:rsidRPr="00677198" w:rsidRDefault="00555C12" w:rsidP="002C6C99">
            <w:pPr>
              <w:jc w:val="center"/>
            </w:pP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t>3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21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581"/>
            </w:tblGrid>
            <w:tr w:rsidR="00555C12" w:rsidRPr="00677198" w:rsidTr="002C6C99">
              <w:tc>
                <w:tcPr>
                  <w:tcW w:w="72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№2 (4)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2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Сумма стехиометрических коэффициентов в левой части уравнения Fe(OH)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2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+ O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2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+ H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2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O </w:t>
                  </w:r>
                  <w:r w:rsidRPr="0067719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x-none"/>
                    </w:rPr>
                    <w:t>→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Fe(OH)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bscript"/>
                      <w:lang w:val="x-none"/>
                    </w:rPr>
                    <w:t>3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равна</w:t>
                  </w:r>
                </w:p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3A428B" wp14:editId="7D17A64F">
                        <wp:extent cx="133350" cy="133350"/>
                        <wp:effectExtent l="0" t="0" r="0" b="0"/>
                        <wp:docPr id="354" name="Рисунок 3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542069" wp14:editId="296C0B6D">
                        <wp:extent cx="133350" cy="133350"/>
                        <wp:effectExtent l="0" t="0" r="0" b="0"/>
                        <wp:docPr id="353" name="Рисунок 3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5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FF1FAD" wp14:editId="466F09D6">
                        <wp:extent cx="133350" cy="133350"/>
                        <wp:effectExtent l="0" t="0" r="0" b="0"/>
                        <wp:docPr id="352" name="Рисунок 3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D9365A" wp14:editId="2406EBD8">
                        <wp:extent cx="133350" cy="133350"/>
                        <wp:effectExtent l="0" t="0" r="0" b="0"/>
                        <wp:docPr id="223" name="Рисунок 2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7</w:t>
                  </w:r>
                </w:p>
              </w:tc>
            </w:tr>
          </w:tbl>
          <w:p w:rsidR="00555C12" w:rsidRPr="00677198" w:rsidRDefault="00555C12" w:rsidP="002C6C99">
            <w:pPr>
              <w:jc w:val="center"/>
            </w:pP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t>4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555C12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№3 (1)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Молекулы растворителя с растворенным веществом образуют соединения называющиеся</w:t>
                  </w:r>
                </w:p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CB2811" wp14:editId="7ACCDE20">
                        <wp:extent cx="133350" cy="133350"/>
                        <wp:effectExtent l="0" t="0" r="0" b="0"/>
                        <wp:docPr id="222" name="Рисунок 2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сольваты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0727C8B" wp14:editId="6320B158">
                        <wp:extent cx="133350" cy="133350"/>
                        <wp:effectExtent l="0" t="0" r="0" b="0"/>
                        <wp:docPr id="221" name="Рисунок 2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соли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40566E" wp14:editId="5740B584">
                        <wp:extent cx="133350" cy="133350"/>
                        <wp:effectExtent l="0" t="0" r="0" b="0"/>
                        <wp:docPr id="220" name="Рисунок 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кислоты</w:t>
                  </w:r>
                </w:p>
              </w:tc>
            </w:tr>
            <w:tr w:rsidR="00555C12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807705" wp14:editId="2362F481">
                        <wp:extent cx="133350" cy="133350"/>
                        <wp:effectExtent l="0" t="0" r="0" b="0"/>
                        <wp:docPr id="219" name="Рисунок 2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555C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основания</w:t>
                  </w:r>
                </w:p>
              </w:tc>
            </w:tr>
          </w:tbl>
          <w:p w:rsidR="00555C12" w:rsidRPr="00677198" w:rsidRDefault="00555C12" w:rsidP="002C6C99">
            <w:pPr>
              <w:jc w:val="center"/>
            </w:pP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t>1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№4 (1)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Ацетат натрия в водном растворе имеет среду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1FEDA8B" wp14:editId="5912F2D8">
                        <wp:extent cx="133350" cy="133350"/>
                        <wp:effectExtent l="0" t="0" r="0" b="0"/>
                        <wp:docPr id="218" name="Рисунок 2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кислую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FB2082" wp14:editId="2B1B057A">
                        <wp:extent cx="133350" cy="133350"/>
                        <wp:effectExtent l="0" t="0" r="0" b="0"/>
                        <wp:docPr id="216" name="Рисунок 2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нейтральную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ADE286" wp14:editId="17D81A48">
                        <wp:extent cx="133350" cy="133350"/>
                        <wp:effectExtent l="0" t="0" r="0" b="0"/>
                        <wp:docPr id="215" name="Рисунок 2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щелочную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74E956" wp14:editId="18287664">
                        <wp:extent cx="133350" cy="133350"/>
                        <wp:effectExtent l="0" t="0" r="0" b="0"/>
                        <wp:docPr id="214" name="Рисунок 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нет правильного ответа</w:t>
                  </w:r>
                </w:p>
              </w:tc>
            </w:tr>
          </w:tbl>
          <w:p w:rsidR="00555C12" w:rsidRPr="00677198" w:rsidRDefault="00555C12" w:rsidP="002C6C99">
            <w:pPr>
              <w:jc w:val="center"/>
            </w:pPr>
          </w:p>
        </w:tc>
        <w:tc>
          <w:tcPr>
            <w:tcW w:w="878" w:type="dxa"/>
          </w:tcPr>
          <w:p w:rsidR="00555C12" w:rsidRPr="00677198" w:rsidRDefault="00677198" w:rsidP="002C6C99">
            <w:pPr>
              <w:jc w:val="center"/>
            </w:pPr>
            <w:r w:rsidRPr="00677198">
              <w:t>1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№5 (1)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При взаимодействии натрия с водой выделяется газ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6C7F78" wp14:editId="7062DDE8">
                        <wp:extent cx="133350" cy="133350"/>
                        <wp:effectExtent l="0" t="0" r="0" b="0"/>
                        <wp:docPr id="213" name="Рисунок 2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кислород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50C468" wp14:editId="4F8BB0BB">
                        <wp:extent cx="133350" cy="133350"/>
                        <wp:effectExtent l="0" t="0" r="0" b="0"/>
                        <wp:docPr id="212" name="Рисунок 2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водород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77F7D8" wp14:editId="116BEFF0">
                        <wp:extent cx="133350" cy="133350"/>
                        <wp:effectExtent l="0" t="0" r="0" b="0"/>
                        <wp:docPr id="211" name="Рисунок 2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оксид водорода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733402" wp14:editId="349F1E59">
                        <wp:extent cx="133350" cy="133350"/>
                        <wp:effectExtent l="0" t="0" r="0" b="0"/>
                        <wp:docPr id="210" name="Рисунок 2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газ не выделяется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t>1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№6 (1)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Известковая вода имеет реакцию среды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C692F8" wp14:editId="4500EB51">
                        <wp:extent cx="133350" cy="133350"/>
                        <wp:effectExtent l="0" t="0" r="0" b="0"/>
                        <wp:docPr id="209" name="Рисунок 2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кислую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F7CD3A" wp14:editId="1E89008A">
                        <wp:extent cx="133350" cy="133350"/>
                        <wp:effectExtent l="0" t="0" r="0" b="0"/>
                        <wp:docPr id="208" name="Рисунок 2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нейтральную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C8F30D" wp14:editId="372100FB">
                        <wp:extent cx="133350" cy="133350"/>
                        <wp:effectExtent l="0" t="0" r="0" b="0"/>
                        <wp:docPr id="207" name="Рисунок 2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щелочную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ABAAE0" wp14:editId="23C71D2E">
                        <wp:extent cx="133350" cy="133350"/>
                        <wp:effectExtent l="0" t="0" r="0" b="0"/>
                        <wp:docPr id="206" name="Рисунок 2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жесткую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t>1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№7 (1)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В хлорофилле комплексообразователем является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А)  Fe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perscript"/>
                      <w:lang w:val="x-none"/>
                    </w:rPr>
                    <w:t>2+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Б)  Fe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perscript"/>
                      <w:lang w:val="x-none"/>
                    </w:rPr>
                    <w:t>3+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В)  Mg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perscript"/>
                      <w:lang w:val="x-none"/>
                    </w:rPr>
                    <w:t>2+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Г)  Ca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vertAlign w:val="superscript"/>
                      <w:lang w:val="x-none"/>
                    </w:rPr>
                    <w:t>2+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lastRenderedPageBreak/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2B9CBB" wp14:editId="3028BC54">
                        <wp:extent cx="133350" cy="133350"/>
                        <wp:effectExtent l="0" t="0" r="0" b="0"/>
                        <wp:docPr id="205" name="Рисунок 2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2435A8" wp14:editId="642B14D8">
                        <wp:extent cx="133350" cy="133350"/>
                        <wp:effectExtent l="0" t="0" r="0" b="0"/>
                        <wp:docPr id="204" name="Рисунок 2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Б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1A13D7" wp14:editId="6677FA11">
                        <wp:extent cx="133350" cy="133350"/>
                        <wp:effectExtent l="0" t="0" r="0" b="0"/>
                        <wp:docPr id="203" name="Рисунок 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В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C03A33" wp14:editId="6885691A">
                        <wp:extent cx="133350" cy="133350"/>
                        <wp:effectExtent l="0" t="0" r="0" b="0"/>
                        <wp:docPr id="202" name="Рисунок 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lastRenderedPageBreak/>
              <w:t>1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№8 (2)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Из каких веществ можно получить жидкое мыло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А)  гидроксид натрия 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Б)  глицерин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В)  гидроксид калия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Д) капроновая кислота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AFF0DE" wp14:editId="20B83ED4">
                        <wp:extent cx="133350" cy="133350"/>
                        <wp:effectExtent l="0" t="0" r="0" b="0"/>
                        <wp:docPr id="201" name="Рисунок 2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гидроксид натрия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98622D" wp14:editId="64FB03BB">
                        <wp:extent cx="133350" cy="133350"/>
                        <wp:effectExtent l="0" t="0" r="0" b="0"/>
                        <wp:docPr id="200" name="Рисунок 2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глицерин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D08F51" wp14:editId="25170EC3">
                        <wp:extent cx="133350" cy="133350"/>
                        <wp:effectExtent l="0" t="0" r="0" b="0"/>
                        <wp:docPr id="199" name="Рисунок 1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гидроксид калия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B166E5" wp14:editId="3BC5239A">
                        <wp:extent cx="133350" cy="133350"/>
                        <wp:effectExtent l="0" t="0" r="0" b="0"/>
                        <wp:docPr id="198" name="Рисунок 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капроновая кислота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t>2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6722"/>
            </w:tblGrid>
            <w:tr w:rsidR="00677198" w:rsidRPr="00677198" w:rsidTr="002C6C99"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№9 (3)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Какие моносахариды образуются в результате гидролиза сахарозы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7E023E" wp14:editId="4728E854">
                        <wp:extent cx="133350" cy="133350"/>
                        <wp:effectExtent l="0" t="0" r="0" b="0"/>
                        <wp:docPr id="197" name="Рисунок 1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x-none"/>
                    </w:rPr>
                    <w:t>ɑ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-глюкоза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952F55" wp14:editId="6145C105">
                        <wp:extent cx="133350" cy="133350"/>
                        <wp:effectExtent l="0" t="0" r="0" b="0"/>
                        <wp:docPr id="196" name="Рисунок 1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β-глюкоза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538B54" wp14:editId="5814D474">
                        <wp:extent cx="133350" cy="133350"/>
                        <wp:effectExtent l="0" t="0" r="0" b="0"/>
                        <wp:docPr id="195" name="Рисунок 1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x-none"/>
                    </w:rPr>
                    <w:t>ɑ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-фруктоза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85E0B0" wp14:editId="0709657B">
                        <wp:extent cx="133350" cy="133350"/>
                        <wp:effectExtent l="0" t="0" r="0" b="0"/>
                        <wp:docPr id="194" name="Рисунок 1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β-фруктоза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5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83D0DF" wp14:editId="7DF0B767">
                        <wp:extent cx="133350" cy="133350"/>
                        <wp:effectExtent l="0" t="0" r="0" b="0"/>
                        <wp:docPr id="193" name="Рисунок 1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Arial" w:hAnsi="Arial" w:cs="Arial"/>
                      <w:color w:val="000000"/>
                      <w:sz w:val="16"/>
                      <w:szCs w:val="16"/>
                      <w:lang w:val="x-none"/>
                    </w:rPr>
                    <w:t>ɑ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-рибоза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t>3</w:t>
            </w:r>
          </w:p>
        </w:tc>
      </w:tr>
      <w:tr w:rsidR="00677198" w:rsidRPr="00677198" w:rsidTr="00555C12">
        <w:tc>
          <w:tcPr>
            <w:tcW w:w="7828" w:type="dxa"/>
          </w:tcPr>
          <w:tbl>
            <w:tblPr>
              <w:tblW w:w="721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121"/>
              <w:gridCol w:w="2091"/>
            </w:tblGrid>
            <w:tr w:rsidR="00677198" w:rsidRPr="00677198" w:rsidTr="002C6C99">
              <w:tc>
                <w:tcPr>
                  <w:tcW w:w="7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№10 (3)</w:t>
                  </w: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2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Установите соответствие между названием полимера и его формулой. К каждой позиции, обозначенной буквой, подберите соответствующую позицию, обозначенную цифрой </w:t>
                  </w: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  <w:tbl>
                  <w:tblPr>
                    <w:tblW w:w="7465" w:type="dxa"/>
                    <w:tblLayout w:type="fixed"/>
                    <w:tblCellMar>
                      <w:left w:w="105" w:type="dxa"/>
                      <w:right w:w="10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85"/>
                    <w:gridCol w:w="2680"/>
                  </w:tblGrid>
                  <w:tr w:rsidR="00677198" w:rsidRPr="00677198" w:rsidTr="002C6C99">
                    <w:tc>
                      <w:tcPr>
                        <w:tcW w:w="4785" w:type="dxa"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А)  капрон</w:t>
                        </w:r>
                      </w:p>
                    </w:tc>
                    <w:tc>
                      <w:tcPr>
                        <w:tcW w:w="2680" w:type="dxa"/>
                        <w:vMerge w:val="restart"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1) (-СF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-CF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-)n</w:t>
                        </w:r>
                      </w:p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2) (-NH-(CH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)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5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-CO)n</w:t>
                        </w:r>
                      </w:p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3) (-CH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-C(CH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3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)=CH-CH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-)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n</w:t>
                        </w:r>
                      </w:p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4)  (-CH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2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-C(CH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3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)-)</w:t>
                        </w: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vertAlign w:val="subscript"/>
                            <w:lang w:val="x-none"/>
                          </w:rPr>
                          <w:t>n</w:t>
                        </w:r>
                      </w:p>
                    </w:tc>
                  </w:tr>
                  <w:tr w:rsidR="00677198" w:rsidRPr="00677198" w:rsidTr="002C6C99">
                    <w:tc>
                      <w:tcPr>
                        <w:tcW w:w="4785" w:type="dxa"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Б)  тефлон</w:t>
                        </w:r>
                      </w:p>
                    </w:tc>
                    <w:tc>
                      <w:tcPr>
                        <w:tcW w:w="2680" w:type="dxa"/>
                        <w:vMerge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</w:tr>
                  <w:tr w:rsidR="00677198" w:rsidRPr="00677198" w:rsidTr="002C6C99">
                    <w:tc>
                      <w:tcPr>
                        <w:tcW w:w="4785" w:type="dxa"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В)  полипропилен</w:t>
                        </w:r>
                      </w:p>
                    </w:tc>
                    <w:tc>
                      <w:tcPr>
                        <w:tcW w:w="2680" w:type="dxa"/>
                        <w:vMerge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</w:tr>
                  <w:tr w:rsidR="00677198" w:rsidRPr="00677198" w:rsidTr="002C6C99">
                    <w:tc>
                      <w:tcPr>
                        <w:tcW w:w="4785" w:type="dxa"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  <w:tc>
                      <w:tcPr>
                        <w:tcW w:w="2680" w:type="dxa"/>
                        <w:vMerge/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</w:tr>
                </w:tbl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  <w:tbl>
                  <w:tblPr>
                    <w:tblW w:w="6570" w:type="dxa"/>
                    <w:tblLayout w:type="fixed"/>
                    <w:tblCellMar>
                      <w:left w:w="105" w:type="dxa"/>
                      <w:right w:w="10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0"/>
                    <w:gridCol w:w="2170"/>
                    <w:gridCol w:w="2290"/>
                  </w:tblGrid>
                  <w:tr w:rsidR="00677198" w:rsidRPr="00677198" w:rsidTr="002C6C99"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А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Б</w:t>
                        </w: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  <w:r w:rsidRPr="00677198"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  <w:t>В</w:t>
                        </w:r>
                      </w:p>
                    </w:tc>
                  </w:tr>
                  <w:tr w:rsidR="00677198" w:rsidRPr="00677198" w:rsidTr="002C6C99">
                    <w:tblPrEx>
                      <w:tblCellSpacing w:w="-8" w:type="nil"/>
                    </w:tblPrEx>
                    <w:trPr>
                      <w:tblCellSpacing w:w="-8" w:type="nil"/>
                    </w:trPr>
                    <w:tc>
                      <w:tcPr>
                        <w:tcW w:w="21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  <w:tc>
                      <w:tcPr>
                        <w:tcW w:w="22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677198" w:rsidRPr="00677198" w:rsidRDefault="00677198" w:rsidP="0067719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000000"/>
                            <w:sz w:val="16"/>
                            <w:szCs w:val="16"/>
                            <w:lang w:val="x-none"/>
                          </w:rPr>
                        </w:pPr>
                      </w:p>
                    </w:tc>
                  </w:tr>
                </w:tbl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677198" w:rsidRPr="00677198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5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Ответ:</w:t>
                  </w:r>
                </w:p>
              </w:tc>
              <w:tc>
                <w:tcPr>
                  <w:tcW w:w="2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77198" w:rsidRPr="00677198" w:rsidRDefault="00677198" w:rsidP="0067719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</w:tbl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77198">
              <w:rPr>
                <w:rFonts w:ascii="Verdana" w:hAnsi="Verdana" w:cs="Verdana"/>
                <w:color w:val="000000"/>
                <w:sz w:val="16"/>
                <w:szCs w:val="16"/>
              </w:rPr>
              <w:t>А -2</w:t>
            </w:r>
          </w:p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77198">
              <w:rPr>
                <w:rFonts w:ascii="Verdana" w:hAnsi="Verdana" w:cs="Verdana"/>
                <w:color w:val="000000"/>
                <w:sz w:val="16"/>
                <w:szCs w:val="16"/>
              </w:rPr>
              <w:t>Б – 1</w:t>
            </w:r>
          </w:p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677198">
              <w:rPr>
                <w:rFonts w:ascii="Verdana" w:hAnsi="Verdana" w:cs="Verdana"/>
                <w:color w:val="000000"/>
                <w:sz w:val="16"/>
                <w:szCs w:val="16"/>
              </w:rPr>
              <w:t>В - 4</w:t>
            </w:r>
          </w:p>
          <w:p w:rsidR="00677198" w:rsidRPr="00677198" w:rsidRDefault="00677198" w:rsidP="0067719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  <w:lang w:val="x-none"/>
              </w:rPr>
            </w:pPr>
          </w:p>
        </w:tc>
        <w:tc>
          <w:tcPr>
            <w:tcW w:w="878" w:type="dxa"/>
          </w:tcPr>
          <w:p w:rsidR="00677198" w:rsidRPr="00677198" w:rsidRDefault="00677198" w:rsidP="002C6C99">
            <w:pPr>
              <w:jc w:val="center"/>
            </w:pPr>
            <w:r w:rsidRPr="00677198">
              <w:t>3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57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18"/>
              <w:gridCol w:w="77"/>
              <w:gridCol w:w="80"/>
            </w:tblGrid>
            <w:tr w:rsidR="00555C12" w:rsidRPr="00677198" w:rsidTr="00B5376B">
              <w:trPr>
                <w:gridAfter w:val="2"/>
                <w:wAfter w:w="157" w:type="dxa"/>
              </w:trPr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№11 (20)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gridAfter w:val="2"/>
                <w:wAfter w:w="157" w:type="dxa"/>
                <w:tblCellSpacing w:w="-8" w:type="nil"/>
              </w:trPr>
              <w:tc>
                <w:tcPr>
                  <w:tcW w:w="7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Газообразное простое вещество Х прореагировало с водородом (t, kat) в результате образовалось новое газообразное вещество Y с характерным резким запахом. Вещество Y cожгли (катализатор Pt), с образованием оксида азота (II) объемом 112 л (н.у.). </w:t>
                  </w:r>
                </w:p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Назовите вещества X, Y. </w:t>
                  </w:r>
                </w:p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Напишите уравнения всех описанных выше реакций, при необходимости расставьте коэффициенты, пользуясь методом электронного баланса. </w:t>
                  </w:r>
                </w:p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Рассчитайте массу вещества Х, вступившего в реакцию с водородом. 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4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Ответ: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&lt;Развернутый ответ и файлы вложения&gt;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4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Решение.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Оксид азота (II) образуется при окислении аммиака в присутствии платинового катализатора. Таким образом,  газ Y — аммиак, а газообразное простое вещество X — азот.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 Запишем уравнения описанных  реакций: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 Взаимодействие азота с водородом: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3H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m:oMath>
                    <m:box>
                      <m:boxPr>
                        <m:opEmu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boxPr>
                      <m:e>
                        <m:groupChr>
                          <m:groupChrPr>
                            <m:chr m:val="→"/>
                            <m:vertJc m:val="bot"/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groupChr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 xml:space="preserve">,   </m:t>
                            </m:r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US"/>
                              </w:rPr>
                              <m:t>kat</m:t>
                            </m:r>
                          </m:e>
                        </m:groupChr>
                      </m:e>
                    </m:box>
                  </m:oMath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2NH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3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(1)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 Окисление аммиака в присутствии платины до оксида азота 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II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4NH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3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+ 50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= 4NO + 6Н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 (2)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 Определяем количество вещества оксида азота (II), полученного в результате реакции (2):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V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m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112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22,4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=5 моль</m:t>
                    </m:r>
                  </m:oMath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 По уравнению реакции (1) рассчитаем количество вещества азота: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den>
                    </m:f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=2,5  моль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5)  Рассчитаем массу азота, вступившего в реакцию (1)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М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)=28 г/моль</w:t>
                  </w:r>
                </w:p>
                <w:p w:rsidR="00555C12" w:rsidRPr="00677198" w:rsidRDefault="00555C12" w:rsidP="00B5376B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)=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m:oMath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∙</m:t>
                    </m:r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val="en-US"/>
                      </w:rPr>
                      <m:t>M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= 5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28=70  г</w:t>
                  </w:r>
                </w:p>
                <w:p w:rsidR="00555C12" w:rsidRPr="00677198" w:rsidRDefault="00555C12" w:rsidP="00B537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Ответ:  Х – 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N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, 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Y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– 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NH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3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, масса азота 70 г.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</w:tbl>
          <w:p w:rsidR="00555C12" w:rsidRPr="00677198" w:rsidRDefault="00555C12" w:rsidP="002C6C99">
            <w:pPr>
              <w:rPr>
                <w:lang w:val="x-none"/>
              </w:rPr>
            </w:pP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lastRenderedPageBreak/>
              <w:t>20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1409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406"/>
              <w:gridCol w:w="6691"/>
            </w:tblGrid>
            <w:tr w:rsidR="00555C12" w:rsidRPr="00677198" w:rsidTr="00B8778B">
              <w:trPr>
                <w:trHeight w:val="267"/>
              </w:trPr>
              <w:tc>
                <w:tcPr>
                  <w:tcW w:w="14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№12 (30)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14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Под яровую пшеницу для восстановления плодородия истощенной почвы требуется внести фосфорсодержащие удобрения, 50 кг на га в расчете на Р2О5 . Рассчитайте, сколько потребуется двойного суперфосфата для внесения на поле площадью 20 га?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Ответ:</w:t>
                  </w:r>
                </w:p>
              </w:tc>
              <w:tc>
                <w:tcPr>
                  <w:tcW w:w="6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Решение (</w:t>
                  </w:r>
                  <w:r w:rsidRPr="0067719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вариант решения</w:t>
                  </w:r>
                  <w:r w:rsidRPr="0067719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):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Рассчитаем молярные массы оксида фосфора 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 и двойного суперфосфата: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М(Р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5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)= 2</w:t>
                  </w:r>
                  <m:oMath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∙31+5∙16=142 г/моль</m:t>
                    </m:r>
                  </m:oMath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M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 = 40 + 1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∙6+2∙31+9∙16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= 252 г/моль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2. Найдем содержание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оксида фосфора (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 в двойном суперфосфате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ω=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М(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  <w:lang w:val="en-US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5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)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M(Ca(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P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4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)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18"/>
                                  <w:szCs w:val="1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O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∙100%=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142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252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100%=56,35 %</m:t>
                      </m:r>
                    </m:oMath>
                  </m:oMathPara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3. Рассчитаем необходимое количество двойного суперфосфата, составив пропорцию, исходя из физического смысла массовой доли: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100 г 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содержат 56,35 г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 xml:space="preserve">5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тогда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 кг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содержат 50 кг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 xml:space="preserve">5 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Х=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)=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100∙50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56,35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=88,73 кг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 xml:space="preserve"> на 1 га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4. Найдем массу двойного суперфосфата в пересчете на 20 га: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 = 88,73 ·20= 1774, 6 кг</w:t>
                  </w:r>
                </w:p>
                <w:p w:rsidR="00555C12" w:rsidRPr="00677198" w:rsidRDefault="00555C12" w:rsidP="00B5376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Ответ: 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Ca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(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PO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4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)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∙</m:t>
                    </m:r>
                  </m:oMath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H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en-US"/>
                    </w:rPr>
                    <w:t>O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) = 1774, 6 кг</w:t>
                  </w:r>
                </w:p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</w:p>
              </w:tc>
            </w:tr>
          </w:tbl>
          <w:p w:rsidR="00555C12" w:rsidRPr="00677198" w:rsidRDefault="00555C12" w:rsidP="002C6C99">
            <w:pPr>
              <w:rPr>
                <w:lang w:val="x-none"/>
              </w:rPr>
            </w:pPr>
          </w:p>
        </w:tc>
        <w:tc>
          <w:tcPr>
            <w:tcW w:w="878" w:type="dxa"/>
          </w:tcPr>
          <w:p w:rsidR="00555C12" w:rsidRPr="00677198" w:rsidRDefault="00555C12" w:rsidP="002C6C99">
            <w:pPr>
              <w:jc w:val="center"/>
            </w:pPr>
            <w:r w:rsidRPr="00677198">
              <w:t>30</w:t>
            </w:r>
          </w:p>
        </w:tc>
      </w:tr>
      <w:tr w:rsidR="00555C12" w:rsidRPr="00677198" w:rsidTr="00555C12">
        <w:tc>
          <w:tcPr>
            <w:tcW w:w="7828" w:type="dxa"/>
          </w:tcPr>
          <w:tbl>
            <w:tblPr>
              <w:tblW w:w="7353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6692"/>
            </w:tblGrid>
            <w:tr w:rsidR="00555C12" w:rsidRPr="00677198" w:rsidTr="00B5376B">
              <w:tc>
                <w:tcPr>
                  <w:tcW w:w="7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№13 (30)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Напишите уравнения реакций, с помощью которых можно осуществить превращения. При написании уравнений используйте структурные формулы веществ. Назовите вещества Х1, Х2, Х3.</w:t>
                  </w:r>
                </w:p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Толуол </w:t>
                  </w:r>
                  <w:r w:rsidRPr="00677198">
                    <w:rPr>
                      <w:rFonts w:ascii="Verdana" w:hAnsi="Verdana" w:cs="Verdana"/>
                      <w:noProof/>
                      <w:color w:val="000000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073160" wp14:editId="48FE2849">
                        <wp:extent cx="3752850" cy="333375"/>
                        <wp:effectExtent l="0" t="0" r="0" b="9525"/>
                        <wp:docPr id="192" name="Рисунок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2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 xml:space="preserve">     </w:t>
                  </w:r>
                </w:p>
              </w:tc>
            </w:tr>
            <w:tr w:rsidR="00555C12" w:rsidRPr="00677198" w:rsidTr="00B5376B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Ответ:</w:t>
                  </w:r>
                </w:p>
              </w:tc>
              <w:tc>
                <w:tcPr>
                  <w:tcW w:w="6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08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</w:pPr>
                  <w:r w:rsidRPr="00677198">
                    <w:rPr>
                      <w:rFonts w:ascii="Verdana" w:hAnsi="Verdana" w:cs="Verdana"/>
                      <w:color w:val="000000"/>
                      <w:sz w:val="16"/>
                      <w:szCs w:val="16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  <w:tr w:rsidR="00555C12" w:rsidRPr="00677198" w:rsidTr="0050157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7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5C12" w:rsidRPr="00677198" w:rsidRDefault="00555C12" w:rsidP="00B8778B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Решение:</w:t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6771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95C4E63" wp14:editId="45380BF3">
                        <wp:extent cx="5624917" cy="2387554"/>
                        <wp:effectExtent l="19050" t="0" r="0" b="0"/>
                        <wp:docPr id="12" name="Рисунок 12" descr="C:\Users\Нина\Downloads\IMG_20200604_084640_resized_20200604_0848118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Нина\Downloads\IMG_20200604_084640_resized_20200604_0848118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lum contrast="77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5240" cy="23919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22F36E8" wp14:editId="385A1CA7">
                        <wp:extent cx="5940425" cy="1341082"/>
                        <wp:effectExtent l="19050" t="0" r="3175" b="0"/>
                        <wp:docPr id="7" name="Рисунок 7" descr="C:\Users\Нина\AppData\Local\Microsoft\Windows\INetCache\Content.Word\IMG_20200604_08302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Нина\AppData\Local\Microsoft\Windows\INetCache\Content.Word\IMG_20200604_08302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lum contrast="79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0425" cy="1341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Называем вещества:</w:t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Х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1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бензоат калия </w:t>
                  </w:r>
                  <w:r w:rsidRPr="006771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409F93F" wp14:editId="3DABEA23">
                        <wp:extent cx="1143000" cy="733425"/>
                        <wp:effectExtent l="19050" t="0" r="0" b="0"/>
                        <wp:docPr id="13" name="Рисунок 13" descr="http://www.deus1.com/images/dobavki-pishevie/E2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deus1.com/images/dobavki-pishevie/E2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2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анилин </w:t>
                  </w:r>
                  <w:r w:rsidRPr="006771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7420B1F" wp14:editId="0BB165E7">
                        <wp:extent cx="952500" cy="952500"/>
                        <wp:effectExtent l="19050" t="0" r="0" b="0"/>
                        <wp:docPr id="16" name="Рисунок 16" descr="http://www.nevaline.com.ru/images/chem/00006128_00006633_00016270_lar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nevaline.com.ru/images/chem/00006128_00006633_00016270_lar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5C12" w:rsidRPr="00677198" w:rsidRDefault="00555C12" w:rsidP="00B8778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</w:rPr>
                    <w:t>3</w:t>
                  </w:r>
                  <w:r w:rsidRPr="006771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хлорид фениламмония (хлорид анилина) </w:t>
                  </w:r>
                  <w:r w:rsidRPr="0067719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2F9F06E4" wp14:editId="02D8269C">
                        <wp:extent cx="1333500" cy="499088"/>
                        <wp:effectExtent l="1905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499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5C12" w:rsidRPr="00677198" w:rsidRDefault="00555C12" w:rsidP="002C6C99">
            <w:pPr>
              <w:rPr>
                <w:lang w:val="x-none"/>
              </w:rPr>
            </w:pPr>
          </w:p>
        </w:tc>
        <w:tc>
          <w:tcPr>
            <w:tcW w:w="878" w:type="dxa"/>
          </w:tcPr>
          <w:p w:rsidR="00555C12" w:rsidRPr="00677198" w:rsidRDefault="00677198" w:rsidP="002C6C99">
            <w:pPr>
              <w:jc w:val="center"/>
            </w:pPr>
            <w:r w:rsidRPr="00677198">
              <w:lastRenderedPageBreak/>
              <w:t>30</w:t>
            </w:r>
          </w:p>
        </w:tc>
      </w:tr>
      <w:tr w:rsidR="00555C12" w:rsidTr="00555C12">
        <w:tc>
          <w:tcPr>
            <w:tcW w:w="7828" w:type="dxa"/>
          </w:tcPr>
          <w:p w:rsidR="00555C12" w:rsidRPr="00677198" w:rsidRDefault="00555C12" w:rsidP="002C6C99">
            <w:r w:rsidRPr="00677198">
              <w:t>ИТОГО</w:t>
            </w:r>
          </w:p>
        </w:tc>
        <w:tc>
          <w:tcPr>
            <w:tcW w:w="878" w:type="dxa"/>
          </w:tcPr>
          <w:p w:rsidR="00555C12" w:rsidRPr="00080550" w:rsidRDefault="00677198" w:rsidP="002C6C99">
            <w:pPr>
              <w:jc w:val="center"/>
            </w:pPr>
            <w:r w:rsidRPr="00677198">
              <w:t>100</w:t>
            </w:r>
            <w:bookmarkStart w:id="0" w:name="_GoBack"/>
            <w:bookmarkEnd w:id="0"/>
          </w:p>
        </w:tc>
      </w:tr>
    </w:tbl>
    <w:p w:rsidR="006D4B87" w:rsidRDefault="006D4B87">
      <w:pPr>
        <w:rPr>
          <w:noProof/>
          <w:lang w:eastAsia="ru-RU"/>
        </w:rPr>
      </w:pPr>
    </w:p>
    <w:p w:rsidR="00080550" w:rsidRDefault="00080550">
      <w:pPr>
        <w:rPr>
          <w:noProof/>
          <w:lang w:eastAsia="ru-RU"/>
        </w:rPr>
      </w:pPr>
    </w:p>
    <w:p w:rsidR="00080550" w:rsidRDefault="00080550">
      <w:pPr>
        <w:rPr>
          <w:noProof/>
          <w:lang w:eastAsia="ru-RU"/>
        </w:rPr>
      </w:pPr>
    </w:p>
    <w:p w:rsidR="00080550" w:rsidRDefault="00080550"/>
    <w:sectPr w:rsidR="00080550" w:rsidSect="0055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A513A"/>
    <w:multiLevelType w:val="hybridMultilevel"/>
    <w:tmpl w:val="E062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3F"/>
    <w:rsid w:val="00080550"/>
    <w:rsid w:val="00154DE2"/>
    <w:rsid w:val="003F12AB"/>
    <w:rsid w:val="003F1F3F"/>
    <w:rsid w:val="00555C12"/>
    <w:rsid w:val="006733C9"/>
    <w:rsid w:val="00677198"/>
    <w:rsid w:val="006D4B87"/>
    <w:rsid w:val="008F1BF6"/>
    <w:rsid w:val="00AE3DB7"/>
    <w:rsid w:val="00B5376B"/>
    <w:rsid w:val="00B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EBF0-3B99-4A01-AF09-F7714782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50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08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2020-08-10T11:46:00Z</dcterms:created>
  <dcterms:modified xsi:type="dcterms:W3CDTF">2020-08-10T11:51:00Z</dcterms:modified>
</cp:coreProperties>
</file>