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3C1" w:rsidRPr="001843C1" w:rsidRDefault="001843C1" w:rsidP="001843C1">
      <w:pPr>
        <w:tabs>
          <w:tab w:val="left" w:pos="25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843C1">
        <w:rPr>
          <w:rFonts w:ascii="Times New Roman" w:hAnsi="Times New Roman" w:cs="Times New Roman"/>
          <w:sz w:val="28"/>
          <w:szCs w:val="28"/>
        </w:rPr>
        <w:t>УДК 632.4</w:t>
      </w:r>
      <w:r w:rsidRPr="001843C1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r w:rsidRPr="001843C1">
        <w:rPr>
          <w:rFonts w:ascii="Times New Roman" w:hAnsi="Times New Roman" w:cs="Times New Roman"/>
          <w:sz w:val="28"/>
          <w:szCs w:val="28"/>
        </w:rPr>
        <w:t>: [633.11&lt;&lt; 324&gt;&gt;:631.5</w:t>
      </w:r>
      <w:proofErr w:type="gramEnd"/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Э.А. Пикушова,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>.н., профессор,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Л.А. Шадрина,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>.н., доцент,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Н.А.  Москалёва,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>.н., доцент,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И.В. Бедловская,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>.н., ст. преподаватель,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А.М. Кравцов, д.с. – х. н., профессор,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П.Т. Букреев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>. с. – х. н., профессор,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С.И.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Кирбабин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>, соискатель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М.Г. Мейланов, аспирант,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Ю.Ю. Савотикова, соискатель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Садовая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, соискатель </w:t>
      </w:r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Кубанский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госагроуниверситет</w:t>
      </w:r>
      <w:proofErr w:type="spellEnd"/>
    </w:p>
    <w:p w:rsidR="001843C1" w:rsidRPr="001843C1" w:rsidRDefault="001843C1" w:rsidP="00184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43C1" w:rsidRPr="001843C1" w:rsidRDefault="001843C1" w:rsidP="00184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43C1">
        <w:rPr>
          <w:rFonts w:ascii="Times New Roman" w:hAnsi="Times New Roman" w:cs="Times New Roman"/>
          <w:b/>
          <w:sz w:val="28"/>
          <w:szCs w:val="28"/>
        </w:rPr>
        <w:t>МОНИТОРИНГ ВИДОВОГО РАЗНООБРАЗИЯ ЛИСТОВЫХ БОЛЕ</w:t>
      </w:r>
      <w:r w:rsidRPr="001843C1">
        <w:rPr>
          <w:rFonts w:ascii="Times New Roman" w:hAnsi="Times New Roman" w:cs="Times New Roman"/>
          <w:b/>
          <w:sz w:val="28"/>
          <w:szCs w:val="28"/>
        </w:rPr>
        <w:t>З</w:t>
      </w:r>
      <w:r w:rsidRPr="001843C1">
        <w:rPr>
          <w:rFonts w:ascii="Times New Roman" w:hAnsi="Times New Roman" w:cs="Times New Roman"/>
          <w:b/>
          <w:sz w:val="28"/>
          <w:szCs w:val="28"/>
        </w:rPr>
        <w:t>НЕЙ ОЗИМОЙ ПШЕНИЦЫ В ЗЕРНОТРАВЯНОПРОПАШНОМ С</w:t>
      </w:r>
      <w:r w:rsidRPr="001843C1">
        <w:rPr>
          <w:rFonts w:ascii="Times New Roman" w:hAnsi="Times New Roman" w:cs="Times New Roman"/>
          <w:b/>
          <w:sz w:val="28"/>
          <w:szCs w:val="28"/>
        </w:rPr>
        <w:t>Е</w:t>
      </w:r>
      <w:r w:rsidRPr="001843C1">
        <w:rPr>
          <w:rFonts w:ascii="Times New Roman" w:hAnsi="Times New Roman" w:cs="Times New Roman"/>
          <w:b/>
          <w:sz w:val="28"/>
          <w:szCs w:val="28"/>
        </w:rPr>
        <w:t>ВООБОРОТЕ НА ФОНЕ РАЗЛИЧНЫХ ТЕХНОЛОГИЙ ВОЗДЕЛЫВ</w:t>
      </w:r>
      <w:r w:rsidRPr="001843C1">
        <w:rPr>
          <w:rFonts w:ascii="Times New Roman" w:hAnsi="Times New Roman" w:cs="Times New Roman"/>
          <w:b/>
          <w:sz w:val="28"/>
          <w:szCs w:val="28"/>
        </w:rPr>
        <w:t>А</w:t>
      </w:r>
      <w:r w:rsidRPr="001843C1">
        <w:rPr>
          <w:rFonts w:ascii="Times New Roman" w:hAnsi="Times New Roman" w:cs="Times New Roman"/>
          <w:b/>
          <w:sz w:val="28"/>
          <w:szCs w:val="28"/>
        </w:rPr>
        <w:t>НИЯ</w:t>
      </w:r>
    </w:p>
    <w:p w:rsidR="001843C1" w:rsidRPr="001843C1" w:rsidRDefault="001843C1" w:rsidP="001843C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843C1">
        <w:rPr>
          <w:rFonts w:ascii="Times New Roman" w:hAnsi="Times New Roman" w:cs="Times New Roman"/>
          <w:i/>
          <w:sz w:val="28"/>
          <w:szCs w:val="28"/>
        </w:rPr>
        <w:t>Представлены результаты мониторинга листовых болезней на пяти инте</w:t>
      </w:r>
      <w:r w:rsidRPr="001843C1">
        <w:rPr>
          <w:rFonts w:ascii="Times New Roman" w:hAnsi="Times New Roman" w:cs="Times New Roman"/>
          <w:i/>
          <w:sz w:val="28"/>
          <w:szCs w:val="28"/>
        </w:rPr>
        <w:t>н</w:t>
      </w:r>
      <w:r w:rsidRPr="001843C1">
        <w:rPr>
          <w:rFonts w:ascii="Times New Roman" w:hAnsi="Times New Roman" w:cs="Times New Roman"/>
          <w:i/>
          <w:sz w:val="28"/>
          <w:szCs w:val="28"/>
        </w:rPr>
        <w:t>сивных сортах озимой пшеницы. Показаны степени влияния на интенси</w:t>
      </w:r>
      <w:r w:rsidRPr="001843C1">
        <w:rPr>
          <w:rFonts w:ascii="Times New Roman" w:hAnsi="Times New Roman" w:cs="Times New Roman"/>
          <w:i/>
          <w:sz w:val="28"/>
          <w:szCs w:val="28"/>
        </w:rPr>
        <w:t>в</w:t>
      </w:r>
      <w:r w:rsidRPr="001843C1">
        <w:rPr>
          <w:rFonts w:ascii="Times New Roman" w:hAnsi="Times New Roman" w:cs="Times New Roman"/>
          <w:i/>
          <w:sz w:val="28"/>
          <w:szCs w:val="28"/>
        </w:rPr>
        <w:t>ность развития болезней факторов погоды, почвенного плодородия и мин</w:t>
      </w:r>
      <w:r w:rsidRPr="001843C1">
        <w:rPr>
          <w:rFonts w:ascii="Times New Roman" w:hAnsi="Times New Roman" w:cs="Times New Roman"/>
          <w:i/>
          <w:sz w:val="28"/>
          <w:szCs w:val="28"/>
        </w:rPr>
        <w:t>е</w:t>
      </w:r>
      <w:r w:rsidRPr="001843C1">
        <w:rPr>
          <w:rFonts w:ascii="Times New Roman" w:hAnsi="Times New Roman" w:cs="Times New Roman"/>
          <w:i/>
          <w:sz w:val="28"/>
          <w:szCs w:val="28"/>
        </w:rPr>
        <w:t>рального питания.</w:t>
      </w:r>
    </w:p>
    <w:p w:rsidR="001843C1" w:rsidRP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Pr="001843C1" w:rsidRDefault="001843C1" w:rsidP="00184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Каждый элемент технологии возделывания озимой пшеницы должен быть направлен на контроль фит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 xml:space="preserve">санитарной обстановки. При этом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имеют листовые болезни, которые снижают фотосинтетическую а</w:t>
      </w:r>
      <w:r w:rsidRPr="001843C1">
        <w:rPr>
          <w:rFonts w:ascii="Times New Roman" w:hAnsi="Times New Roman" w:cs="Times New Roman"/>
          <w:sz w:val="28"/>
          <w:szCs w:val="28"/>
        </w:rPr>
        <w:t>к</w:t>
      </w:r>
      <w:r w:rsidRPr="001843C1">
        <w:rPr>
          <w:rFonts w:ascii="Times New Roman" w:hAnsi="Times New Roman" w:cs="Times New Roman"/>
          <w:sz w:val="28"/>
          <w:szCs w:val="28"/>
        </w:rPr>
        <w:t xml:space="preserve">тивность листьев озимой пшеницы, величину и качество урожая. Выявить все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изменения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как в качественном, так и количественном состоянии возбуд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 xml:space="preserve">телей болезней позволяет мониторинг. Работа эта имеет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>, так как способствует объективной оценке фитосанитарной ситуации, позв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>ляет выявить роль каждого агротехнического приёма, как в отдельности, так и в сочетании, и определить оптимальные сроки применения средств защиты растений.</w:t>
      </w:r>
    </w:p>
    <w:p w:rsidR="001843C1" w:rsidRPr="001843C1" w:rsidRDefault="001843C1" w:rsidP="001843C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pacing w:val="6"/>
          <w:sz w:val="28"/>
          <w:szCs w:val="28"/>
        </w:rPr>
        <w:t>Мониторинг видового разнообразия листовых болезней озимой пшеницы проводился в одиннадцатипольном зернотравянопропашном с</w:t>
      </w:r>
      <w:r w:rsidRPr="001843C1">
        <w:rPr>
          <w:rFonts w:ascii="Times New Roman" w:hAnsi="Times New Roman" w:cs="Times New Roman"/>
          <w:color w:val="000000"/>
          <w:spacing w:val="6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pacing w:val="6"/>
          <w:sz w:val="28"/>
          <w:szCs w:val="28"/>
        </w:rPr>
        <w:t>вообороте в течение 1993 – 2007 годов на базе длительного четырёхфа</w:t>
      </w:r>
      <w:r w:rsidRPr="001843C1">
        <w:rPr>
          <w:rFonts w:ascii="Times New Roman" w:hAnsi="Times New Roman" w:cs="Times New Roman"/>
          <w:color w:val="000000"/>
          <w:spacing w:val="6"/>
          <w:sz w:val="28"/>
          <w:szCs w:val="28"/>
        </w:rPr>
        <w:t>к</w:t>
      </w:r>
      <w:r w:rsidRPr="001843C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торного полевого опыта. </w:t>
      </w:r>
      <w:r w:rsidRPr="001843C1">
        <w:rPr>
          <w:rFonts w:ascii="Times New Roman" w:hAnsi="Times New Roman" w:cs="Times New Roman"/>
          <w:color w:val="000000"/>
          <w:spacing w:val="3"/>
          <w:sz w:val="28"/>
          <w:szCs w:val="28"/>
        </w:rPr>
        <w:t>Фактор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плодородия почвы изучался в четырёх уровнях: 0 – естественное (содержание гумуса 2,7 – 2,9%); 1 – среднее (с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держание гумуса 3,0 – 3,2%); 2 – повышенное (содержание гумуса 3,3 – 3,5%); 3 – высокое (содержание гумуса 3,5 – 3,7%). 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>Вторым изучаемым фа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>к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тором являлась система удобрений: 0 -  без применения удобрений; 1 - минимальная 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– 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N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vertAlign w:val="subscript"/>
        </w:rPr>
        <w:t>59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P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vertAlign w:val="subscript"/>
        </w:rPr>
        <w:t>34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K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vertAlign w:val="subscript"/>
        </w:rPr>
        <w:t>20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;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2 – 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средняя - 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N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vertAlign w:val="subscript"/>
        </w:rPr>
        <w:t>118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P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vertAlign w:val="subscript"/>
        </w:rPr>
        <w:t>68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K</w:t>
      </w:r>
      <w:r w:rsidRPr="001843C1">
        <w:rPr>
          <w:rFonts w:ascii="Times New Roman" w:hAnsi="Times New Roman" w:cs="Times New Roman"/>
          <w:color w:val="000000"/>
          <w:spacing w:val="-7"/>
          <w:sz w:val="28"/>
          <w:szCs w:val="28"/>
          <w:vertAlign w:val="subscript"/>
        </w:rPr>
        <w:t>44</w:t>
      </w:r>
      <w:r w:rsidRPr="001843C1">
        <w:rPr>
          <w:rFonts w:ascii="Times New Roman" w:hAnsi="Times New Roman" w:cs="Times New Roman"/>
          <w:color w:val="000000"/>
          <w:spacing w:val="-8"/>
          <w:sz w:val="28"/>
          <w:szCs w:val="28"/>
        </w:rPr>
        <w:t>; 3 -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высокая - 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  <w:lang w:val="en-US"/>
        </w:rPr>
        <w:t>N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  <w:vertAlign w:val="subscript"/>
        </w:rPr>
        <w:t>236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Р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  <w:vertAlign w:val="subscript"/>
        </w:rPr>
        <w:t>136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К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  <w:vertAlign w:val="subscript"/>
        </w:rPr>
        <w:t>88</w:t>
      </w:r>
      <w:r w:rsidRPr="001843C1">
        <w:rPr>
          <w:rFonts w:ascii="Times New Roman" w:hAnsi="Times New Roman" w:cs="Times New Roman"/>
          <w:color w:val="000000"/>
          <w:spacing w:val="-8"/>
          <w:sz w:val="28"/>
          <w:szCs w:val="28"/>
        </w:rPr>
        <w:t>.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gram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Фактор защиты растений включает четыре варианта: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0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- без применения средств защиты растений (экстенсивная технология);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1 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- биологические средства защ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ты растений от болезней и вредителей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(беспестицидная технология);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2 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– си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с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тема защиты растений с помощью гербицидов от сорняков (экологиче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ски д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пустимая технология);</w:t>
      </w:r>
      <w:r w:rsidRPr="001843C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3 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– интегрированная система защиты растений от со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р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няков, болезней и вреди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>телей с помощью фунгицидов, инсектицидов и герб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цидов (интенсив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>ная технология).</w:t>
      </w:r>
      <w:proofErr w:type="gramEnd"/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Видовой состав болезней и состояние их популяций изучались на пяти интенсивных сортах озимой пшеницы: Юна (по сахарной свёкле),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(по к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курузе на зерно), Победа 50 (по подсолнечнику), Батько (по люцерне), Красн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дарская 99 (по подсолнечнику), Нота (по кукурузе на зе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р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но).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Результаты исследований подтвердили мнение ряда авторов, что вид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вой состав восприимчивости сорта. Из факультативных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сапротрофов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 агроц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нозе озимой пшеницы выявлены септориоз (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Septoria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tritici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Roberge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et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Desm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.), фузар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озная пятнистость (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Mi</w:t>
      </w:r>
      <w:proofErr w:type="gram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с</w:t>
      </w:r>
      <w:proofErr w:type="spellStart"/>
      <w:proofErr w:type="gram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rodochium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nivale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(F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r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.),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сколекотрихоз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(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Scolecotrichum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graminis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Fusk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.); из облигатных паразитов  отмечена  бурая (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Puccinia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recondita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Rob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. е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t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Desm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f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tritici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Eriks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) и жёлтая ржавчины (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Puccinia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striiformis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West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.), му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ч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нистая роса (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Erysiphe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graminis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DC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f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tritici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Em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proofErr w:type="spellStart"/>
      <w:proofErr w:type="gramStart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Marchal</w:t>
      </w:r>
      <w:proofErr w:type="spell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).</w:t>
      </w:r>
      <w:proofErr w:type="gramEnd"/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В течение 14 лет исследований к числу наиболее вредоносных заболев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ний относился септориоз (табл. 1).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Этим заболеванием каждый год, за исключением 2004, поражались все сорта озимой пшеницы. Наиболее сильно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поражались сорта Юна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и П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беда 50, которые изначально отмечены как восприимчивые и средневоспр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имчивые к данному заболеванию.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Таблица 1 – </w:t>
      </w:r>
      <w:r w:rsidRPr="001843C1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Поражение озимой пшеницы листовыми болезнями. Опытное поле КГАУ, 1993 – 2007 г.г.</w:t>
      </w: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49"/>
        <w:gridCol w:w="850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8"/>
      </w:tblGrid>
      <w:tr w:rsidR="001843C1" w:rsidRPr="001843C1" w:rsidTr="00DA13F3">
        <w:trPr>
          <w:trHeight w:val="781"/>
        </w:trPr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Сорт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Септор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Жёлтая</w:t>
            </w:r>
          </w:p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ржавчина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Бурая</w:t>
            </w:r>
          </w:p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ржавчина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Мучн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стая</w:t>
            </w:r>
          </w:p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роса</w:t>
            </w:r>
          </w:p>
        </w:tc>
        <w:tc>
          <w:tcPr>
            <w:tcW w:w="1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Фузариоз-ная</w:t>
            </w:r>
            <w:proofErr w:type="spellEnd"/>
          </w:p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пятнис-тость</w:t>
            </w:r>
            <w:proofErr w:type="spellEnd"/>
            <w:proofErr w:type="gramEnd"/>
          </w:p>
        </w:tc>
      </w:tr>
      <w:tr w:rsidR="001843C1" w:rsidRPr="001843C1" w:rsidTr="00DA13F3">
        <w:trPr>
          <w:trHeight w:val="271"/>
        </w:trPr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,%</w:t>
            </w:r>
          </w:p>
        </w:tc>
      </w:tr>
      <w:tr w:rsidR="001843C1" w:rsidRPr="001843C1" w:rsidTr="00DA13F3"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1994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Руфа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Победа 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Батько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10,8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10,8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5,8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Краснода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ская 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43C1" w:rsidRPr="001843C1" w:rsidTr="00DA13F3">
        <w:tc>
          <w:tcPr>
            <w:tcW w:w="1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22,7</w:t>
            </w:r>
          </w:p>
        </w:tc>
      </w:tr>
    </w:tbl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На сорте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Юна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максимальное развитие заболевания, при 100% распростран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нии, составило 27,3 – 57,6%,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– 29,3 – 47%, Победа 50 – 29,3 48,3%. 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кое высокое поражение растений септориозом обуславливалось как опт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мальным температурным режимом (20 - 24</w:t>
      </w:r>
      <w:r w:rsidRPr="001843C1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0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) и определённым количеством дней с осадками,  так и микроклиматом в стеблестое растений. На сорте Батько, характеризующемся средней устойчивостью к септориозу, развитие заболевания было на уровне 0,5 – 7,2% при распростран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нии от 10 до 100%.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Сорта озимой пшеницы Краснодарская 99 и Нота характеризуются п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левой устойчивостью к септориозу. В засушливых условиях 2005 года пол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вая устойчивость сорта Краснодарская 99 сохранилась, поражение растений этим заболеванием не превышало 10% при распространении 50%. Аналоги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ная картина в засушливом вегетационном периоде 2007 года наблюд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лась и на сорте озимой пшеницы Нота.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В 2006 году сложились оптимальные условия для эпифитотийного ра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вития септориоза. Это большой запас инфекции на ослабленных растен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ях и  благоприятные погодные условия для его реализации в фазу колошения -  максимальные температуры находились в пределах оптимума развития б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лезни – 20,6 до 25</w:t>
      </w:r>
      <w:r w:rsidRPr="001843C1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0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С при наличии капельной влаги. В таких условиях сорта Краснодарская 99 и Нота, обладающие полевой усто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чивостью к септориозу, утратили её и в сильной степени поразились заболеванием. Распространение заболевания составило соответственно 35,7 – 50% при 100% - ном распр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странении.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Таким образом, можно сделать вывод, что из 14 лет исследований, в течение 10 лет развитие септориоза носило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эпифитотийный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характер, что 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звало необходимость применения фунгицидов.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Из облигатных паразитов наиболее вредоносным и встречающимся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>рактически на всех сортах, заболеванием была бурая ржавчина. В характ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ристике сортов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, Победа 50, Краснодарская 99 отмечается средняя во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приимчивость к этому заболеванию. Сорта Юна и Батько в период исслед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ваний считались устойчивыми, а новый сорт Нота характеризуется как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выс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коустойчивый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к данному заболеванию. Следует 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метить, что в течение 1993 – 1995 годов в условиях стационарного полевого опыта сорт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Юна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в разли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ной степени поражался бурой ржавчиной, что свидетельствует о потере у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тойчивости к этому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патогену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. Выявлено нарастание вредоносности бурой ржавчины на сортах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, Победа 50 и Краснодарская 99. Если в 1995 году на сорте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встречались лишь единичные растения, поражённые бурой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ржавчиной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,т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в 1996 году развитие и распространение болезни достигло ЭПВ, а в 1997 – распространение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патогена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превысило ЭПВ в 8 раз, а развитие в 10 раз . На сорте Победа 50 поражение растений бурой ржа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чиной во все годы исследований (1997 – 1999 г.г.) превышало критические значения. 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смотря на одинаковую характеристику сортов, очевидно, это связано с бол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шей потерей устойчивости сорта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. В 1999 году распространение болезни достиг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ло 80% при развитии 7%. Высокий инфекционный запас с осени 2003 года и благоприятные погодные условия в апреле – мае 2004 года способс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вовали возникновению сильной эпифитотии заболевания на сорте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Красн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дарская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99. В последующие годы поражение сорта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Красн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дарская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99 было незначительным.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Сорт Нота характеризуется селекционерами как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высокоустойчивый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к 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бурой ржавчине. Однако в 2006 и 2007 годах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наблюдалось позднее проявл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ние бурой ржавчины на этом сорте и поэтому было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менее вред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носным.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Таким образом, результатами исследований установлено, что при 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личии запаса инфекции и оптимальных условий для развития бурой ржавч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ны  сорта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, Юна, Победа 50 , Краснодарская 99  в сильной степени пор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зились заболеванием. На сорте Батько, устойчивом к бурой ржавчине, в теч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ние 2001 – 2003 годах заболевание не встречалось. На сорте Нота выявлено позднее поражение бурой ржавчиной, что не оказывало существенного вли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ния на продуктивность.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На всех изучаемых сортах выявлено поражение растений мучнистой росой. Сорта Юна,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, Победа 50, Батько характеризуются средней усто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чивостью к заболеванию, сорт Краснодарская 99 обладает полевой устойч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востью, а сорт Нота является устойчивым.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Результаты проведённого мониторинга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подтвердили устойчивость со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тов Юна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>, Победа 50 и Батько к мучнистой росе. Сорт Батько, посеянный по люцерне, в наибольшей степени поражался этим заболеванием – распростр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нение колебалось от 20 до 100%, развитие было средним - от 1,7 до 10,8%. Сорта Краснодарская 99 и Нота поражались заболеванием в меньшей степ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ни. На сорте Краснодарская 99 распространение болезни колеб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лось от 5 до 10%, на сорте Нота – от 10 до 50% при единичном развитии.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Кроме широкораспространённых болезней нами были отмечены мал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известные, которые в настоящее время приобретают актуальное значение. В первой ротации севооборота сорт Батько в 2001 году в фазу колошения пор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зился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фузариозным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ожогом листьев – распространение болезни составило 70%, при развитии 10,8%. Второй раз заболевание выявлено через шесть лет во второй ротации севооборота. Поражение этим заболеванием сорта Нота проявилось после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цветения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и распространение составило 100%, а максимал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ное развитие 22,7%. В 1994 году на растениях озимой пшеницы сорта Юна было выявлено поражение листьев возбудителем сколикотрихоза. Макс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мальное распространение болезни наблюдалось в фазу колошения и до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тигло 33% при развитии 3,3 %. Ряд авторов отмечает, что развитие сколикотрихоза может сильно сказ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ваться на формировании урожая.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Важным направлением ресурсосбережения в технологиях возделыв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ния озимой пшеницы является оптимизация системы органических удобр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ний. При этом суммарная детерминация этих приёмов на развитие болезней различается, что определяется конкретными погодными условиями вегетац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онного периода. 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По мнению ряда авторов, действие удобрений на развитие и распр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странение болезней не является однозначным. Оно зависит от состояния кормового растения и от того к какому типу питания относится патоген –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биотрофному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сапротрофному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Установлено сдерживающее влияние органических и минеральных удобрений на развитие факультативных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сапротрофов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, в частности септори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за (рис. 1). Наиболее заметно действие удобрений проявилось на сорте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Юна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, на котором развитие болезни по годам снизилось соответственно в 1, 2; 2,7 – 2, 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8; 1,7 – 2,4 раза. На сортах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и Победа 50 влияние этих факторов было ниже, развитие болезни снижалось в 1,2 – 1, 6 раз. При этом последействие 400т/га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перепрепшего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навоза проявилось в течение последующих шести лет. Мин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мальное поражение септориозом отмечено в вариантах комплексного влияния плодородия почвы и минерального питания. Наиб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лее значительно это проявилось на сорте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Юна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>. На сорте Батько, возделываемом после люце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ны, в годы среднего развития популяции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патогенов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, 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кой закономерности не было. Тенденция по сдерживающему влиянию уровней плодородия и мин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рального питания пр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слеживалось также на сортах Краснодарская 99 и Нота.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Статистическая обработка результатов исследований методом путев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го анализа позволила установить, что доли влияния на развитие септориоза плодородия почвы колебались от 7 до 18%, минерального питания – от 7 до 32% при коэффициентах корреляции – 0,5 – 0,7. Знак минус в уравнениях регрессии свидетельствует о том, что как плодородие почвы, так и минерал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ное питание сдерживали развитие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факультативного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протрофа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170596</wp:posOffset>
            </wp:positionH>
            <wp:positionV relativeFrom="paragraph">
              <wp:posOffset>164750</wp:posOffset>
            </wp:positionV>
            <wp:extent cx="6022428" cy="2823601"/>
            <wp:effectExtent l="0" t="0" r="0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949" cy="282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359782</wp:posOffset>
            </wp:positionH>
            <wp:positionV relativeFrom="paragraph">
              <wp:posOffset>122424</wp:posOffset>
            </wp:positionV>
            <wp:extent cx="5833242" cy="2596055"/>
            <wp:effectExtent l="0" t="0" r="0" b="0"/>
            <wp:wrapNone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129" cy="259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P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Рисунок  1 –</w:t>
      </w:r>
      <w:r w:rsidRPr="001843C1">
        <w:rPr>
          <w:rFonts w:ascii="Times New Roman" w:hAnsi="Times New Roman" w:cs="Times New Roman"/>
          <w:b/>
          <w:sz w:val="28"/>
          <w:szCs w:val="28"/>
        </w:rPr>
        <w:t xml:space="preserve"> Влияние уровней плодородия почвы и минерального пит</w:t>
      </w:r>
      <w:r w:rsidRPr="001843C1">
        <w:rPr>
          <w:rFonts w:ascii="Times New Roman" w:hAnsi="Times New Roman" w:cs="Times New Roman"/>
          <w:b/>
          <w:sz w:val="28"/>
          <w:szCs w:val="28"/>
        </w:rPr>
        <w:t>а</w:t>
      </w:r>
      <w:r w:rsidRPr="001843C1">
        <w:rPr>
          <w:rFonts w:ascii="Times New Roman" w:hAnsi="Times New Roman" w:cs="Times New Roman"/>
          <w:b/>
          <w:sz w:val="28"/>
          <w:szCs w:val="28"/>
        </w:rPr>
        <w:t>ния при рекомендуемом способе основной обработки почвы на пораж</w:t>
      </w:r>
      <w:r w:rsidRPr="001843C1">
        <w:rPr>
          <w:rFonts w:ascii="Times New Roman" w:hAnsi="Times New Roman" w:cs="Times New Roman"/>
          <w:b/>
          <w:sz w:val="28"/>
          <w:szCs w:val="28"/>
        </w:rPr>
        <w:t>е</w:t>
      </w:r>
      <w:r w:rsidRPr="001843C1">
        <w:rPr>
          <w:rFonts w:ascii="Times New Roman" w:hAnsi="Times New Roman" w:cs="Times New Roman"/>
          <w:b/>
          <w:sz w:val="28"/>
          <w:szCs w:val="28"/>
        </w:rPr>
        <w:t>ние озимой пшеницы септориозом. Опытное поле КГАУ.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Таким образом, можно сделать вывод о том, что в годы среднего разв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тия популяции септориоза существует реальная возможность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болеванием применением сбалансированных минеральных удобрений. При этом фактор защиты растений большее значение приобретает на низких 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уровнях плодородия почвы и минерального питания.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Результатами наших исследований доказано, что плодородие почвы и минеральное питание повышают поражение растений облигатным параз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том -  бурой ржавчиной (рис. 2).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54610</wp:posOffset>
            </wp:positionH>
            <wp:positionV relativeFrom="paragraph">
              <wp:posOffset>33655</wp:posOffset>
            </wp:positionV>
            <wp:extent cx="6106160" cy="3121025"/>
            <wp:effectExtent l="0" t="0" r="0" b="0"/>
            <wp:wrapNone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60" cy="312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202127</wp:posOffset>
            </wp:positionH>
            <wp:positionV relativeFrom="paragraph">
              <wp:posOffset>175260</wp:posOffset>
            </wp:positionV>
            <wp:extent cx="5959366" cy="3090041"/>
            <wp:effectExtent l="0" t="0" r="0" b="0"/>
            <wp:wrapNone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338" cy="309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P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Рисунок  2 –</w:t>
      </w:r>
      <w:r w:rsidRPr="001843C1">
        <w:rPr>
          <w:rFonts w:ascii="Times New Roman" w:hAnsi="Times New Roman" w:cs="Times New Roman"/>
          <w:b/>
          <w:sz w:val="28"/>
          <w:szCs w:val="28"/>
        </w:rPr>
        <w:t xml:space="preserve"> Влияние уровней плодородия почвы и минерального пит</w:t>
      </w:r>
      <w:r w:rsidRPr="001843C1">
        <w:rPr>
          <w:rFonts w:ascii="Times New Roman" w:hAnsi="Times New Roman" w:cs="Times New Roman"/>
          <w:b/>
          <w:sz w:val="28"/>
          <w:szCs w:val="28"/>
        </w:rPr>
        <w:t>а</w:t>
      </w:r>
      <w:r w:rsidRPr="001843C1">
        <w:rPr>
          <w:rFonts w:ascii="Times New Roman" w:hAnsi="Times New Roman" w:cs="Times New Roman"/>
          <w:b/>
          <w:sz w:val="28"/>
          <w:szCs w:val="28"/>
        </w:rPr>
        <w:t>ния при рекомендуемом  способе обработки почвы на поражение оз</w:t>
      </w:r>
      <w:r w:rsidRPr="001843C1">
        <w:rPr>
          <w:rFonts w:ascii="Times New Roman" w:hAnsi="Times New Roman" w:cs="Times New Roman"/>
          <w:b/>
          <w:sz w:val="28"/>
          <w:szCs w:val="28"/>
        </w:rPr>
        <w:t>и</w:t>
      </w:r>
      <w:r w:rsidRPr="001843C1">
        <w:rPr>
          <w:rFonts w:ascii="Times New Roman" w:hAnsi="Times New Roman" w:cs="Times New Roman"/>
          <w:b/>
          <w:sz w:val="28"/>
          <w:szCs w:val="28"/>
        </w:rPr>
        <w:t>мой пшеницы бурой ржавчиной. Опытное поле КГАУ.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Плодородие почвы и минеральные удобрения, как самостоятельные факторы, в различной степени способствовали увеличению поражённости растений бурой ржавчиной. Плодородие почвы увеличивало поражённость раст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ний бурой ржавчиной на сорте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Руфа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в 1,2 раза, на сорте Победа 50 – в 2,3 раза. Минеральное питание способствовало развитию бурой ржавчины в гораздо большей степени, чем плодородие почвы. В 1997 году на сорте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фа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при 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эпифитотийном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развитии бурой ржавчины поражение растений в вар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анте с применением средней дозы минеральных удобрений было в 1,5 раза больше по сравнению с естественным фоном плодородия почвы и минерал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ного питания и в 1,2 раза больше по сравнению с вариантом с пов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шенным 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фоном плодородия почвы. На сорте Победа 50 развитие болезни в этом же году было в 1,8 – 4,8 раза больше по сравнению с контрольным 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риантом и в 2 – 2,4 раза больше по сравнению с вариантом повышенного фона плодор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дия.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>В вариантах применения минеральных удобрений на фоне повышенн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го плодородия почвы наблюдалось максимальное увеличение развития б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рой ржавчины. Аналогичная картина по влиянию этих факторов наблюд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лась и на сортах озимой пшеницы Краснодарская 99 и Нота. При этом следует 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метить, что в условиях сильнейшей эпифитотии 2004 года на сорте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Красн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дарская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99 в варианте с комплексным применением удобрений пра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тически полностью сгорел флаговый лист, развитие болезни составило 80%.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Положительные знаки в уравнениях регрессии подтвердили вывод, что плодородие почвы и минеральное питание способствуют увеличению разв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тия болезни. При этом доля влияния минерального питания гораздо прев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шала долю влияния плодородия, которые составили соответственно 12,2 – 37,3%, и 3,4 -10%. Единственным фактором, сдерживающим развитие бурой ржавчины, была защита растений,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доли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влияния которой колебались от 7,4 до 42% и зависели от состояния популяции возбудителя.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Органические и минеральные удобрения оказали стимулирующее влияние на развитие мучнистой росы.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Плодородие почвы незначительно увеличивало распространение б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лезни – доли влияния составили 3,6 – 3,8%. Степень влияния минеральных удобрений была достаточно высокой – 36,9 – 61,3%. Развитие мучнистой р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сы, также как и бурой ржавчины сдерживала защита растений, </w:t>
      </w:r>
      <w:proofErr w:type="gram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доли</w:t>
      </w:r>
      <w:proofErr w:type="gram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влияния которой колебались в пределах 8,1 – 11,7%.</w:t>
      </w:r>
    </w:p>
    <w:p w:rsidR="001843C1" w:rsidRPr="001843C1" w:rsidRDefault="001843C1" w:rsidP="001843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Таким образом, при увеличении интенсификации технологии воздел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вания озимой пшеницы возрастает роль фактора защиты в снижении вред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носности облигатных паразитов. В случае возникновения эпифитотии этих </w:t>
      </w:r>
      <w:proofErr w:type="spellStart"/>
      <w:r w:rsidRPr="001843C1">
        <w:rPr>
          <w:rFonts w:ascii="Times New Roman" w:hAnsi="Times New Roman" w:cs="Times New Roman"/>
          <w:color w:val="000000"/>
          <w:sz w:val="28"/>
          <w:szCs w:val="28"/>
        </w:rPr>
        <w:t>патогенов</w:t>
      </w:r>
      <w:proofErr w:type="spellEnd"/>
      <w:r w:rsidRPr="001843C1">
        <w:rPr>
          <w:rFonts w:ascii="Times New Roman" w:hAnsi="Times New Roman" w:cs="Times New Roman"/>
          <w:color w:val="000000"/>
          <w:sz w:val="28"/>
          <w:szCs w:val="28"/>
        </w:rPr>
        <w:t xml:space="preserve"> альтернативы химическому методу нет. </w:t>
      </w:r>
    </w:p>
    <w:p w:rsid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color w:val="000000"/>
          <w:sz w:val="28"/>
          <w:szCs w:val="28"/>
        </w:rPr>
        <w:tab/>
        <w:t>Данные по влиянию плодородия почвы и минерального питания на урожайность сортов озимой пшеницы позволили сделать вывод, что проду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тивность озимой пшеницы зависит от видового состава возбудителей боле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1843C1">
        <w:rPr>
          <w:rFonts w:ascii="Times New Roman" w:hAnsi="Times New Roman" w:cs="Times New Roman"/>
          <w:color w:val="000000"/>
          <w:sz w:val="28"/>
          <w:szCs w:val="28"/>
        </w:rPr>
        <w:t>ней и состояния их популяций (табл. 2).</w:t>
      </w:r>
      <w:r w:rsidRPr="001843C1">
        <w:rPr>
          <w:rFonts w:ascii="Times New Roman" w:hAnsi="Times New Roman" w:cs="Times New Roman"/>
          <w:sz w:val="28"/>
          <w:szCs w:val="28"/>
        </w:rPr>
        <w:t xml:space="preserve"> Максимальное влияние на урожа</w:t>
      </w:r>
      <w:r w:rsidRPr="001843C1">
        <w:rPr>
          <w:rFonts w:ascii="Times New Roman" w:hAnsi="Times New Roman" w:cs="Times New Roman"/>
          <w:sz w:val="28"/>
          <w:szCs w:val="28"/>
        </w:rPr>
        <w:t>й</w:t>
      </w:r>
      <w:r w:rsidRPr="001843C1">
        <w:rPr>
          <w:rFonts w:ascii="Times New Roman" w:hAnsi="Times New Roman" w:cs="Times New Roman"/>
          <w:sz w:val="28"/>
          <w:szCs w:val="28"/>
        </w:rPr>
        <w:t>ность  оказало внесение сбалансированных  по макроэлементам минерал</w:t>
      </w:r>
      <w:r w:rsidRPr="001843C1">
        <w:rPr>
          <w:rFonts w:ascii="Times New Roman" w:hAnsi="Times New Roman" w:cs="Times New Roman"/>
          <w:sz w:val="28"/>
          <w:szCs w:val="28"/>
        </w:rPr>
        <w:t>ь</w:t>
      </w:r>
      <w:r w:rsidRPr="001843C1">
        <w:rPr>
          <w:rFonts w:ascii="Times New Roman" w:hAnsi="Times New Roman" w:cs="Times New Roman"/>
          <w:sz w:val="28"/>
          <w:szCs w:val="28"/>
        </w:rPr>
        <w:t xml:space="preserve">ных удобрений при посеве озимой пшеницы по пропашному предшественнику. Исключение составил сорт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Краснодарская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99 в 2004 году при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эпифитотийном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 xml:space="preserve"> развитии бурой ржавчины, где минеральные удобрения усилили поражение растений заболеванием, что привело к сн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 xml:space="preserve">жению урожайности.  </w:t>
      </w:r>
    </w:p>
    <w:p w:rsid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P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3C1" w:rsidRP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lastRenderedPageBreak/>
        <w:t xml:space="preserve">Таблица 2 -  </w:t>
      </w:r>
      <w:r w:rsidRPr="001843C1">
        <w:rPr>
          <w:rFonts w:ascii="Times New Roman" w:hAnsi="Times New Roman" w:cs="Times New Roman"/>
          <w:b/>
          <w:sz w:val="28"/>
          <w:szCs w:val="28"/>
        </w:rPr>
        <w:t>Влияние плодородия почвы и минерального питания  на урожайность озимой пшеницы при рекомендуемом способе основной о</w:t>
      </w:r>
      <w:r w:rsidRPr="001843C1">
        <w:rPr>
          <w:rFonts w:ascii="Times New Roman" w:hAnsi="Times New Roman" w:cs="Times New Roman"/>
          <w:b/>
          <w:sz w:val="28"/>
          <w:szCs w:val="28"/>
        </w:rPr>
        <w:t>б</w:t>
      </w:r>
      <w:r w:rsidRPr="001843C1">
        <w:rPr>
          <w:rFonts w:ascii="Times New Roman" w:hAnsi="Times New Roman" w:cs="Times New Roman"/>
          <w:b/>
          <w:sz w:val="28"/>
          <w:szCs w:val="28"/>
        </w:rPr>
        <w:t>работки почвы. Опытное поле КГАУ.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26"/>
        <w:gridCol w:w="1826"/>
        <w:gridCol w:w="954"/>
        <w:gridCol w:w="955"/>
        <w:gridCol w:w="955"/>
        <w:gridCol w:w="956"/>
        <w:gridCol w:w="1070"/>
        <w:gridCol w:w="1029"/>
      </w:tblGrid>
      <w:tr w:rsidR="001843C1" w:rsidRPr="001843C1" w:rsidTr="00DA13F3"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Вариант</w:t>
            </w:r>
          </w:p>
        </w:tc>
        <w:tc>
          <w:tcPr>
            <w:tcW w:w="63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 xml:space="preserve">Урожайность, </w:t>
            </w:r>
            <w:proofErr w:type="spellStart"/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spellEnd"/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/га сортов</w:t>
            </w:r>
          </w:p>
        </w:tc>
      </w:tr>
      <w:tr w:rsidR="001843C1" w:rsidRPr="001843C1" w:rsidTr="00DA13F3"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плодородие почвы</w:t>
            </w: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минеральное питание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Победа 50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Батько</w:t>
            </w:r>
          </w:p>
        </w:tc>
        <w:tc>
          <w:tcPr>
            <w:tcW w:w="2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Краснодарская 99</w:t>
            </w:r>
          </w:p>
        </w:tc>
      </w:tr>
      <w:tr w:rsidR="001843C1" w:rsidRPr="001843C1" w:rsidTr="00DA13F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1998 г.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1999 г.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2002 г.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2003 г.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2004 г.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2005 г.</w:t>
            </w:r>
          </w:p>
        </w:tc>
      </w:tr>
      <w:tr w:rsidR="001843C1" w:rsidRPr="001843C1" w:rsidTr="00DA13F3"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Естественное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Естественное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28,8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35,6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79,1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82,8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41,9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51,3</w:t>
            </w:r>
          </w:p>
        </w:tc>
      </w:tr>
      <w:tr w:rsidR="001843C1" w:rsidRPr="001843C1" w:rsidTr="00DA13F3"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Естественное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118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68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44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54,9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64,8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73,4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79,6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32,5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70,4</w:t>
            </w:r>
          </w:p>
        </w:tc>
      </w:tr>
      <w:tr w:rsidR="001843C1" w:rsidRPr="001843C1" w:rsidTr="00DA13F3"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Повышенное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Естественное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33,1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40,8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74,3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81,8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41,0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</w:tr>
      <w:tr w:rsidR="001843C1" w:rsidRPr="001843C1" w:rsidTr="00DA13F3"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Повышенное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118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68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44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55,3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68,5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75,7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79,6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36,9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8"/>
                <w:szCs w:val="28"/>
              </w:rPr>
              <w:t>71,9</w:t>
            </w:r>
          </w:p>
        </w:tc>
      </w:tr>
    </w:tbl>
    <w:p w:rsidR="001843C1" w:rsidRP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843C1">
        <w:rPr>
          <w:rFonts w:ascii="Times New Roman" w:hAnsi="Times New Roman" w:cs="Times New Roman"/>
          <w:sz w:val="28"/>
          <w:szCs w:val="28"/>
        </w:rPr>
        <w:t>Сорт Батько возделывался в годы  слабого или среднего развития попул</w:t>
      </w:r>
      <w:r w:rsidRPr="001843C1">
        <w:rPr>
          <w:rFonts w:ascii="Times New Roman" w:hAnsi="Times New Roman" w:cs="Times New Roman"/>
          <w:sz w:val="28"/>
          <w:szCs w:val="28"/>
        </w:rPr>
        <w:t>я</w:t>
      </w:r>
      <w:r w:rsidRPr="001843C1">
        <w:rPr>
          <w:rFonts w:ascii="Times New Roman" w:hAnsi="Times New Roman" w:cs="Times New Roman"/>
          <w:sz w:val="28"/>
          <w:szCs w:val="28"/>
        </w:rPr>
        <w:t>ций возбудителей заболеваний. Этот факт и роль люцерны обеспечили в</w:t>
      </w:r>
      <w:r w:rsidRPr="001843C1">
        <w:rPr>
          <w:rFonts w:ascii="Times New Roman" w:hAnsi="Times New Roman" w:cs="Times New Roman"/>
          <w:sz w:val="28"/>
          <w:szCs w:val="28"/>
        </w:rPr>
        <w:t>ы</w:t>
      </w:r>
      <w:r w:rsidRPr="001843C1">
        <w:rPr>
          <w:rFonts w:ascii="Times New Roman" w:hAnsi="Times New Roman" w:cs="Times New Roman"/>
          <w:sz w:val="28"/>
          <w:szCs w:val="28"/>
        </w:rPr>
        <w:t>сокую урожайность, независимо от плодородия почвы и минерального пит</w:t>
      </w:r>
      <w:r w:rsidRPr="001843C1">
        <w:rPr>
          <w:rFonts w:ascii="Times New Roman" w:hAnsi="Times New Roman" w:cs="Times New Roman"/>
          <w:sz w:val="28"/>
          <w:szCs w:val="28"/>
        </w:rPr>
        <w:t>а</w:t>
      </w:r>
      <w:r w:rsidRPr="001843C1">
        <w:rPr>
          <w:rFonts w:ascii="Times New Roman" w:hAnsi="Times New Roman" w:cs="Times New Roman"/>
          <w:sz w:val="28"/>
          <w:szCs w:val="28"/>
        </w:rPr>
        <w:t>ния.                                                                                                                                        Следовательно, в годы  эпифитотийного развития заболеваний, при внес</w:t>
      </w:r>
      <w:r w:rsidRPr="001843C1">
        <w:rPr>
          <w:rFonts w:ascii="Times New Roman" w:hAnsi="Times New Roman" w:cs="Times New Roman"/>
          <w:sz w:val="28"/>
          <w:szCs w:val="28"/>
        </w:rPr>
        <w:t>е</w:t>
      </w:r>
      <w:r w:rsidRPr="001843C1">
        <w:rPr>
          <w:rFonts w:ascii="Times New Roman" w:hAnsi="Times New Roman" w:cs="Times New Roman"/>
          <w:sz w:val="28"/>
          <w:szCs w:val="28"/>
        </w:rPr>
        <w:t xml:space="preserve">нии под озимую пшеницу сбалансированных минеральных удобрений,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увелич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>вается роль фактора зашиты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растений.</w:t>
      </w:r>
    </w:p>
    <w:p w:rsidR="001843C1" w:rsidRPr="001843C1" w:rsidRDefault="001843C1" w:rsidP="001843C1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В ресурсосберегающих технологиях возделывания озимой пшеницы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имеет оптимизация доз минеральных удобрений и систем защиты (табл. 3).</w:t>
      </w:r>
    </w:p>
    <w:p w:rsidR="001843C1" w:rsidRPr="001843C1" w:rsidRDefault="001843C1" w:rsidP="001843C1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 xml:space="preserve"> Разница в уровнях урожайности по годам объясняется многими прич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>нами, среди которых можно выделить две основных. Первая состоит в зап</w:t>
      </w:r>
      <w:r w:rsidRPr="001843C1">
        <w:rPr>
          <w:rFonts w:ascii="Times New Roman" w:hAnsi="Times New Roman" w:cs="Times New Roman"/>
          <w:sz w:val="28"/>
          <w:szCs w:val="28"/>
        </w:rPr>
        <w:t>а</w:t>
      </w:r>
      <w:r w:rsidRPr="001843C1">
        <w:rPr>
          <w:rFonts w:ascii="Times New Roman" w:hAnsi="Times New Roman" w:cs="Times New Roman"/>
          <w:sz w:val="28"/>
          <w:szCs w:val="28"/>
        </w:rPr>
        <w:t>сах влаги и температурном режиме, вторая - это состояние популяций возб</w:t>
      </w:r>
      <w:r w:rsidRPr="001843C1">
        <w:rPr>
          <w:rFonts w:ascii="Times New Roman" w:hAnsi="Times New Roman" w:cs="Times New Roman"/>
          <w:sz w:val="28"/>
          <w:szCs w:val="28"/>
        </w:rPr>
        <w:t>у</w:t>
      </w:r>
      <w:r w:rsidRPr="001843C1">
        <w:rPr>
          <w:rFonts w:ascii="Times New Roman" w:hAnsi="Times New Roman" w:cs="Times New Roman"/>
          <w:sz w:val="28"/>
          <w:szCs w:val="28"/>
        </w:rPr>
        <w:t>дителей болезней, которые определяли и в годы исследований величину п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>терь урожая и эффе</w:t>
      </w:r>
      <w:r w:rsidRPr="001843C1">
        <w:rPr>
          <w:rFonts w:ascii="Times New Roman" w:hAnsi="Times New Roman" w:cs="Times New Roman"/>
          <w:sz w:val="28"/>
          <w:szCs w:val="28"/>
        </w:rPr>
        <w:t>к</w:t>
      </w:r>
      <w:r w:rsidRPr="001843C1">
        <w:rPr>
          <w:rFonts w:ascii="Times New Roman" w:hAnsi="Times New Roman" w:cs="Times New Roman"/>
          <w:sz w:val="28"/>
          <w:szCs w:val="28"/>
        </w:rPr>
        <w:t>тивность систем защиты.</w:t>
      </w:r>
    </w:p>
    <w:p w:rsidR="001843C1" w:rsidRPr="001843C1" w:rsidRDefault="001843C1" w:rsidP="001843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Таблица 3 –</w:t>
      </w:r>
      <w:r w:rsidRPr="001843C1">
        <w:rPr>
          <w:rFonts w:ascii="Times New Roman" w:hAnsi="Times New Roman" w:cs="Times New Roman"/>
          <w:b/>
          <w:sz w:val="28"/>
          <w:szCs w:val="28"/>
        </w:rPr>
        <w:t xml:space="preserve"> Хозяйственная эффективность химической и биологич</w:t>
      </w:r>
      <w:r w:rsidRPr="001843C1">
        <w:rPr>
          <w:rFonts w:ascii="Times New Roman" w:hAnsi="Times New Roman" w:cs="Times New Roman"/>
          <w:b/>
          <w:sz w:val="28"/>
          <w:szCs w:val="28"/>
        </w:rPr>
        <w:t>е</w:t>
      </w:r>
      <w:r w:rsidRPr="001843C1">
        <w:rPr>
          <w:rFonts w:ascii="Times New Roman" w:hAnsi="Times New Roman" w:cs="Times New Roman"/>
          <w:b/>
          <w:sz w:val="28"/>
          <w:szCs w:val="28"/>
        </w:rPr>
        <w:t>ской  систем защиты на фоне различных уровней плодородия почвы и мин</w:t>
      </w:r>
      <w:r w:rsidRPr="001843C1">
        <w:rPr>
          <w:rFonts w:ascii="Times New Roman" w:hAnsi="Times New Roman" w:cs="Times New Roman"/>
          <w:b/>
          <w:sz w:val="28"/>
          <w:szCs w:val="28"/>
        </w:rPr>
        <w:t>е</w:t>
      </w:r>
      <w:r w:rsidRPr="001843C1">
        <w:rPr>
          <w:rFonts w:ascii="Times New Roman" w:hAnsi="Times New Roman" w:cs="Times New Roman"/>
          <w:b/>
          <w:sz w:val="28"/>
          <w:szCs w:val="28"/>
        </w:rPr>
        <w:t>рального питания при рекомендуемом способе основной обработки по</w:t>
      </w:r>
      <w:r w:rsidRPr="001843C1">
        <w:rPr>
          <w:rFonts w:ascii="Times New Roman" w:hAnsi="Times New Roman" w:cs="Times New Roman"/>
          <w:b/>
          <w:sz w:val="28"/>
          <w:szCs w:val="28"/>
        </w:rPr>
        <w:t>ч</w:t>
      </w:r>
      <w:r w:rsidRPr="001843C1">
        <w:rPr>
          <w:rFonts w:ascii="Times New Roman" w:hAnsi="Times New Roman" w:cs="Times New Roman"/>
          <w:b/>
          <w:sz w:val="28"/>
          <w:szCs w:val="28"/>
        </w:rPr>
        <w:t>вы. Опытное поле КГАУ.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88"/>
        <w:gridCol w:w="1260"/>
        <w:gridCol w:w="1913"/>
        <w:gridCol w:w="992"/>
        <w:gridCol w:w="992"/>
        <w:gridCol w:w="993"/>
        <w:gridCol w:w="992"/>
        <w:gridCol w:w="850"/>
        <w:gridCol w:w="851"/>
      </w:tblGrid>
      <w:tr w:rsidR="001843C1" w:rsidRPr="001843C1" w:rsidTr="001843C1">
        <w:tc>
          <w:tcPr>
            <w:tcW w:w="4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Вариант</w:t>
            </w:r>
          </w:p>
        </w:tc>
        <w:tc>
          <w:tcPr>
            <w:tcW w:w="5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 xml:space="preserve">Урожайность сортов, </w:t>
            </w:r>
            <w:proofErr w:type="spellStart"/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/га</w:t>
            </w:r>
          </w:p>
        </w:tc>
      </w:tr>
      <w:tr w:rsidR="001843C1" w:rsidRPr="001843C1" w:rsidTr="001843C1"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плод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родие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 xml:space="preserve">ральное </w:t>
            </w:r>
          </w:p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1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система з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щиты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Победа 50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Батько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Краснода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ская 99</w:t>
            </w:r>
          </w:p>
        </w:tc>
      </w:tr>
      <w:tr w:rsidR="001843C1" w:rsidRPr="001843C1" w:rsidTr="001843C1"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0"/>
                <w:szCs w:val="20"/>
              </w:rPr>
              <w:t>1998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0"/>
                <w:szCs w:val="20"/>
              </w:rPr>
              <w:t xml:space="preserve">1999 г.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0"/>
                <w:szCs w:val="20"/>
              </w:rPr>
              <w:t>2002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0"/>
                <w:szCs w:val="20"/>
              </w:rPr>
              <w:t>2003 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0"/>
                <w:szCs w:val="20"/>
              </w:rPr>
              <w:t>2004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0"/>
                <w:szCs w:val="20"/>
              </w:rPr>
              <w:t>2005 г.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Сре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нее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59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34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22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Биологич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77,5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42,1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Сре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нее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59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34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22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Химическая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85,3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Сре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нее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88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Биологич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53,5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69,6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78,9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32,3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Сре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нее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88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Химическая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кое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59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34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22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Биологич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78,9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кое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59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34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22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Химическая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75,9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кое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88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Биологич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54,4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66,4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32,3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67,4</w:t>
            </w:r>
          </w:p>
        </w:tc>
      </w:tr>
      <w:tr w:rsidR="001843C1" w:rsidRPr="001843C1" w:rsidTr="001843C1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кое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136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843C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88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Химическая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64,1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>68,9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3C1" w:rsidRPr="001843C1" w:rsidRDefault="001843C1" w:rsidP="001843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43C1">
              <w:rPr>
                <w:rFonts w:ascii="Times New Roman" w:hAnsi="Times New Roman" w:cs="Times New Roman"/>
                <w:sz w:val="24"/>
                <w:szCs w:val="24"/>
              </w:rPr>
              <w:t xml:space="preserve">79,9 </w:t>
            </w:r>
          </w:p>
        </w:tc>
      </w:tr>
    </w:tbl>
    <w:p w:rsidR="001843C1" w:rsidRPr="001843C1" w:rsidRDefault="001843C1" w:rsidP="001843C1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843C1">
        <w:rPr>
          <w:rFonts w:ascii="Times New Roman" w:hAnsi="Times New Roman" w:cs="Times New Roman"/>
          <w:sz w:val="28"/>
          <w:szCs w:val="28"/>
        </w:rPr>
        <w:lastRenderedPageBreak/>
        <w:t>Разница в урожайности сорта Победа 50 объясняется тем, что в 1998 г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 xml:space="preserve">ду произошло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эпифитотийное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 xml:space="preserve"> развитие септориоза и желтой ржавчины, а в 1999 году развитие заболеваний оставалось на низком и среднем уровнях. Максимальная урожайность получена на фоне высоких доз минеральных удобрений, но окупаемость последних в 3,5 раза меньше по сравнению со средними дозами. Химическая система защиты на средних фонах плодородия почвы и м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 xml:space="preserve">нерального питания обеспечила сохранение урожая 9-10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 xml:space="preserve">/га по сравнению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биологической.</w:t>
      </w:r>
    </w:p>
    <w:p w:rsidR="001843C1" w:rsidRPr="001843C1" w:rsidRDefault="001843C1" w:rsidP="001843C1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843C1">
        <w:rPr>
          <w:rFonts w:ascii="Times New Roman" w:hAnsi="Times New Roman" w:cs="Times New Roman"/>
          <w:sz w:val="28"/>
          <w:szCs w:val="28"/>
        </w:rPr>
        <w:t>На сорте Батько, который возделывался при слабом и среднем состо</w:t>
      </w:r>
      <w:r w:rsidRPr="001843C1">
        <w:rPr>
          <w:rFonts w:ascii="Times New Roman" w:hAnsi="Times New Roman" w:cs="Times New Roman"/>
          <w:sz w:val="28"/>
          <w:szCs w:val="28"/>
        </w:rPr>
        <w:t>я</w:t>
      </w:r>
      <w:r w:rsidRPr="001843C1">
        <w:rPr>
          <w:rFonts w:ascii="Times New Roman" w:hAnsi="Times New Roman" w:cs="Times New Roman"/>
          <w:sz w:val="28"/>
          <w:szCs w:val="28"/>
        </w:rPr>
        <w:t xml:space="preserve">нии популяций возбудителей болезней, разница в урожайности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43C1">
        <w:rPr>
          <w:rFonts w:ascii="Times New Roman" w:hAnsi="Times New Roman" w:cs="Times New Roman"/>
          <w:sz w:val="28"/>
          <w:szCs w:val="28"/>
        </w:rPr>
        <w:t>химич</w:t>
      </w:r>
      <w:r w:rsidRPr="001843C1">
        <w:rPr>
          <w:rFonts w:ascii="Times New Roman" w:hAnsi="Times New Roman" w:cs="Times New Roman"/>
          <w:sz w:val="28"/>
          <w:szCs w:val="28"/>
        </w:rPr>
        <w:t>е</w:t>
      </w:r>
      <w:r w:rsidRPr="001843C1">
        <w:rPr>
          <w:rFonts w:ascii="Times New Roman" w:hAnsi="Times New Roman" w:cs="Times New Roman"/>
          <w:sz w:val="28"/>
          <w:szCs w:val="28"/>
        </w:rPr>
        <w:t>ской</w:t>
      </w:r>
      <w:proofErr w:type="gramEnd"/>
      <w:r w:rsidRPr="001843C1">
        <w:rPr>
          <w:rFonts w:ascii="Times New Roman" w:hAnsi="Times New Roman" w:cs="Times New Roman"/>
          <w:sz w:val="28"/>
          <w:szCs w:val="28"/>
        </w:rPr>
        <w:t xml:space="preserve"> и биологической системах защиты на средних фонах плодородия и минерал</w:t>
      </w:r>
      <w:r w:rsidRPr="001843C1">
        <w:rPr>
          <w:rFonts w:ascii="Times New Roman" w:hAnsi="Times New Roman" w:cs="Times New Roman"/>
          <w:sz w:val="28"/>
          <w:szCs w:val="28"/>
        </w:rPr>
        <w:t>ь</w:t>
      </w:r>
      <w:r w:rsidRPr="001843C1">
        <w:rPr>
          <w:rFonts w:ascii="Times New Roman" w:hAnsi="Times New Roman" w:cs="Times New Roman"/>
          <w:sz w:val="28"/>
          <w:szCs w:val="28"/>
        </w:rPr>
        <w:t xml:space="preserve">ного питания составила 2,9-7,2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>/га. Снижение урожайности на высоких ф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>нах плодородия почвы и минерального питания в 2002 году объясняется п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>леганием растений.</w:t>
      </w:r>
    </w:p>
    <w:p w:rsidR="001843C1" w:rsidRPr="001843C1" w:rsidRDefault="001843C1" w:rsidP="001843C1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Значимость фактора защиты растений существенно проявилась в 2004 году в условиях эпифитотийного развития бурой ржавчины на сорте Красн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>дарская 99. Биологический препарат в такой ситуации оказался неэффекти</w:t>
      </w:r>
      <w:r w:rsidRPr="001843C1">
        <w:rPr>
          <w:rFonts w:ascii="Times New Roman" w:hAnsi="Times New Roman" w:cs="Times New Roman"/>
          <w:sz w:val="28"/>
          <w:szCs w:val="28"/>
        </w:rPr>
        <w:t>в</w:t>
      </w:r>
      <w:r w:rsidRPr="001843C1">
        <w:rPr>
          <w:rFonts w:ascii="Times New Roman" w:hAnsi="Times New Roman" w:cs="Times New Roman"/>
          <w:sz w:val="28"/>
          <w:szCs w:val="28"/>
        </w:rPr>
        <w:t>ным и потери урожая составили на средних фонах плодородия почвы и м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 xml:space="preserve">нерального питания 24 -  31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 xml:space="preserve">/га, а на высоких- 33-36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 xml:space="preserve">/га.  </w:t>
      </w:r>
    </w:p>
    <w:p w:rsidR="001843C1" w:rsidRPr="001843C1" w:rsidRDefault="001843C1" w:rsidP="001843C1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В 2005 году, при среднем и слабом развитии популяций возбудителей заболеваний, биологическая система защиты обеспечила уровень урожайн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>сти на средних фонах плодородия почвы и минерального п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 xml:space="preserve">тания 76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 xml:space="preserve">/га, что на 9-15 </w:t>
      </w:r>
      <w:proofErr w:type="spellStart"/>
      <w:r w:rsidRPr="001843C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1843C1">
        <w:rPr>
          <w:rFonts w:ascii="Times New Roman" w:hAnsi="Times New Roman" w:cs="Times New Roman"/>
          <w:sz w:val="28"/>
          <w:szCs w:val="28"/>
        </w:rPr>
        <w:t>/га ниже по сравнению с химической защитой. Разница  эта объя</w:t>
      </w:r>
      <w:r w:rsidRPr="001843C1">
        <w:rPr>
          <w:rFonts w:ascii="Times New Roman" w:hAnsi="Times New Roman" w:cs="Times New Roman"/>
          <w:sz w:val="28"/>
          <w:szCs w:val="28"/>
        </w:rPr>
        <w:t>с</w:t>
      </w:r>
      <w:r w:rsidRPr="001843C1">
        <w:rPr>
          <w:rFonts w:ascii="Times New Roman" w:hAnsi="Times New Roman" w:cs="Times New Roman"/>
          <w:sz w:val="28"/>
          <w:szCs w:val="28"/>
        </w:rPr>
        <w:t>няется высокой засоренностью посевов зимующими и ранними яровыми сорняками в варианте биологической защиты  и подтверждает значимость гербицидов в реализации потенциальной урожайности сорта. Максимальная урожайность получена на фоне применения химической защ</w:t>
      </w:r>
      <w:r w:rsidRPr="001843C1">
        <w:rPr>
          <w:rFonts w:ascii="Times New Roman" w:hAnsi="Times New Roman" w:cs="Times New Roman"/>
          <w:sz w:val="28"/>
          <w:szCs w:val="28"/>
        </w:rPr>
        <w:t>и</w:t>
      </w:r>
      <w:r w:rsidRPr="001843C1">
        <w:rPr>
          <w:rFonts w:ascii="Times New Roman" w:hAnsi="Times New Roman" w:cs="Times New Roman"/>
          <w:sz w:val="28"/>
          <w:szCs w:val="28"/>
        </w:rPr>
        <w:t>ты.</w:t>
      </w:r>
    </w:p>
    <w:p w:rsidR="001843C1" w:rsidRPr="001843C1" w:rsidRDefault="001843C1" w:rsidP="001843C1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1843C1">
        <w:rPr>
          <w:rFonts w:ascii="Times New Roman" w:hAnsi="Times New Roman" w:cs="Times New Roman"/>
          <w:sz w:val="28"/>
          <w:szCs w:val="28"/>
        </w:rPr>
        <w:t>Таким образом, на семи  интенсивных сортах озимой пшеницы доказано значение в стабилизации ур</w:t>
      </w:r>
      <w:r w:rsidRPr="001843C1">
        <w:rPr>
          <w:rFonts w:ascii="Times New Roman" w:hAnsi="Times New Roman" w:cs="Times New Roman"/>
          <w:sz w:val="28"/>
          <w:szCs w:val="28"/>
        </w:rPr>
        <w:t>о</w:t>
      </w:r>
      <w:r w:rsidRPr="001843C1">
        <w:rPr>
          <w:rFonts w:ascii="Times New Roman" w:hAnsi="Times New Roman" w:cs="Times New Roman"/>
          <w:sz w:val="28"/>
          <w:szCs w:val="28"/>
        </w:rPr>
        <w:t>жайности плодородия и внесения средних доз минеральных удобрений в системе севооборота.</w:t>
      </w:r>
    </w:p>
    <w:p w:rsidR="001843C1" w:rsidRPr="001843C1" w:rsidRDefault="001843C1" w:rsidP="001843C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3C1">
        <w:rPr>
          <w:rFonts w:ascii="Times New Roman" w:hAnsi="Times New Roman" w:cs="Times New Roman"/>
          <w:b/>
          <w:sz w:val="28"/>
          <w:szCs w:val="28"/>
        </w:rPr>
        <w:t>Агроэкологический мониторинг в земледелии Краснодарского края. -  Труды. Выпуск №431(459) К 90-летию агрономического факультета. Красн</w:t>
      </w:r>
      <w:r w:rsidRPr="001843C1">
        <w:rPr>
          <w:rFonts w:ascii="Times New Roman" w:hAnsi="Times New Roman" w:cs="Times New Roman"/>
          <w:b/>
          <w:sz w:val="28"/>
          <w:szCs w:val="28"/>
        </w:rPr>
        <w:t>о</w:t>
      </w:r>
      <w:r w:rsidRPr="001843C1">
        <w:rPr>
          <w:rFonts w:ascii="Times New Roman" w:hAnsi="Times New Roman" w:cs="Times New Roman"/>
          <w:b/>
          <w:sz w:val="28"/>
          <w:szCs w:val="28"/>
        </w:rPr>
        <w:t>дар, 2008. – С.82-88.</w:t>
      </w:r>
    </w:p>
    <w:p w:rsidR="00000000" w:rsidRPr="001843C1" w:rsidRDefault="001843C1" w:rsidP="001843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00000" w:rsidRPr="00184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autoHyphenation/>
  <w:characterSpacingControl w:val="doNotCompress"/>
  <w:compat>
    <w:useFELayout/>
  </w:compat>
  <w:rsids>
    <w:rsidRoot w:val="001843C1"/>
    <w:rsid w:val="00184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3018</Words>
  <Characters>17204</Characters>
  <Application>Microsoft Office Word</Application>
  <DocSecurity>0</DocSecurity>
  <Lines>143</Lines>
  <Paragraphs>40</Paragraphs>
  <ScaleCrop>false</ScaleCrop>
  <Company/>
  <LinksUpToDate>false</LinksUpToDate>
  <CharactersWithSpaces>20182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Защита растений</dc:creator>
  <cp:keywords/>
  <dc:description/>
  <cp:lastModifiedBy>Защита растений</cp:lastModifiedBy>
  <cp:revision>2</cp:revision>
  <dcterms:created xsi:type="dcterms:W3CDTF">2011-02-01T08:16:00Z</dcterms:created>
  <dcterms:modified xsi:type="dcterms:W3CDTF">2011-02-01T08:20:00Z</dcterms:modified>
</cp:coreProperties>
</file>